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F23" w:rsidRPr="00293F23" w:rsidRDefault="00293F23" w:rsidP="00293F23">
      <w:pPr>
        <w:pStyle w:val="ConsPlusNormal"/>
        <w:ind w:left="5954"/>
        <w:rPr>
          <w:rFonts w:ascii="Times New Roman" w:hAnsi="Times New Roman" w:cs="Times New Roman"/>
          <w:color w:val="auto"/>
          <w:sz w:val="28"/>
          <w:szCs w:val="28"/>
        </w:rPr>
      </w:pPr>
      <w:r w:rsidRPr="00293F23">
        <w:rPr>
          <w:rFonts w:ascii="Times New Roman" w:hAnsi="Times New Roman" w:cs="Times New Roman"/>
          <w:color w:val="auto"/>
          <w:sz w:val="28"/>
          <w:szCs w:val="28"/>
        </w:rPr>
        <w:t xml:space="preserve">Приложение № </w:t>
      </w:r>
      <w:r w:rsidR="00FF60F0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293F2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93F23" w:rsidRPr="00293F23" w:rsidRDefault="00293F23" w:rsidP="00293F23">
      <w:pPr>
        <w:pStyle w:val="ConsPlusNormal"/>
        <w:ind w:left="5954"/>
        <w:rPr>
          <w:rFonts w:ascii="Times New Roman" w:hAnsi="Times New Roman" w:cs="Times New Roman"/>
          <w:color w:val="auto"/>
          <w:sz w:val="28"/>
          <w:szCs w:val="28"/>
        </w:rPr>
      </w:pPr>
    </w:p>
    <w:p w:rsidR="00293F23" w:rsidRPr="00293F23" w:rsidRDefault="00293F23" w:rsidP="00293F23">
      <w:pPr>
        <w:pStyle w:val="ConsPlusNormal"/>
        <w:ind w:left="5954"/>
        <w:rPr>
          <w:rFonts w:ascii="Times New Roman" w:hAnsi="Times New Roman" w:cs="Times New Roman"/>
          <w:color w:val="auto"/>
          <w:sz w:val="28"/>
          <w:szCs w:val="28"/>
        </w:rPr>
      </w:pPr>
      <w:r w:rsidRPr="00293F23">
        <w:rPr>
          <w:rFonts w:ascii="Times New Roman" w:hAnsi="Times New Roman" w:cs="Times New Roman"/>
          <w:color w:val="auto"/>
          <w:sz w:val="28"/>
          <w:szCs w:val="28"/>
        </w:rPr>
        <w:t>к Государственной программе</w:t>
      </w:r>
    </w:p>
    <w:p w:rsidR="00293F23" w:rsidRDefault="00293F23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93F23" w:rsidRDefault="00293F23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FC7E2E" w:rsidRPr="005A4A50" w:rsidRDefault="004F375F">
      <w:pPr>
        <w:pStyle w:val="ConsPlusNormal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ПОДПРОГРАММА</w:t>
      </w:r>
    </w:p>
    <w:p w:rsidR="00FC7E2E" w:rsidRPr="005A4A50" w:rsidRDefault="00FC7E2E">
      <w:pPr>
        <w:pStyle w:val="ConsPlusNormal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«Энергосбереж</w:t>
      </w:r>
      <w:r w:rsidR="00CF23D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ение и повышение </w:t>
      </w:r>
      <w:proofErr w:type="gramStart"/>
      <w:r w:rsidR="00CF23D0">
        <w:rPr>
          <w:rFonts w:ascii="Times New Roman" w:hAnsi="Times New Roman" w:cs="Times New Roman"/>
          <w:b/>
          <w:color w:val="auto"/>
          <w:sz w:val="28"/>
          <w:szCs w:val="28"/>
        </w:rPr>
        <w:t>энергетической</w:t>
      </w:r>
      <w:proofErr w:type="gramEnd"/>
    </w:p>
    <w:p w:rsidR="00FC7E2E" w:rsidRPr="005A4A50" w:rsidRDefault="00FC7E2E">
      <w:pPr>
        <w:pStyle w:val="ConsPlusNormal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эфф</w:t>
      </w:r>
      <w:r w:rsidR="00CF23D0">
        <w:rPr>
          <w:rFonts w:ascii="Times New Roman" w:hAnsi="Times New Roman" w:cs="Times New Roman"/>
          <w:b/>
          <w:color w:val="auto"/>
          <w:sz w:val="28"/>
          <w:szCs w:val="28"/>
        </w:rPr>
        <w:t>ективности в Кировской области»</w:t>
      </w:r>
    </w:p>
    <w:p w:rsidR="00FC7E2E" w:rsidRPr="004F375F" w:rsidRDefault="00FC7E2E">
      <w:pPr>
        <w:pStyle w:val="ConsPlusNormal"/>
        <w:jc w:val="both"/>
        <w:rPr>
          <w:rFonts w:ascii="Times New Roman" w:hAnsi="Times New Roman" w:cs="Times New Roman"/>
          <w:color w:val="auto"/>
          <w:sz w:val="22"/>
          <w:szCs w:val="28"/>
        </w:rPr>
      </w:pPr>
    </w:p>
    <w:p w:rsidR="00900412" w:rsidRPr="00900412" w:rsidRDefault="004F375F">
      <w:pPr>
        <w:pStyle w:val="ConsPlusNormal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ПАСПОРТ</w:t>
      </w:r>
    </w:p>
    <w:p w:rsidR="00FC7E2E" w:rsidRPr="005A4A50" w:rsidRDefault="00FC7E2E">
      <w:pPr>
        <w:pStyle w:val="ConsPlusNormal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подпрограммы</w:t>
      </w:r>
      <w:r w:rsidR="00900412" w:rsidRPr="009004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«Энергосбережение и повышение энергетической эффективности</w:t>
      </w:r>
      <w:r w:rsidR="00900412" w:rsidRPr="0090041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 Кировской области» </w:t>
      </w:r>
    </w:p>
    <w:p w:rsidR="00FC7E2E" w:rsidRPr="004F375F" w:rsidRDefault="00FC7E2E">
      <w:pPr>
        <w:pStyle w:val="ConsPlusNormal"/>
        <w:jc w:val="center"/>
        <w:rPr>
          <w:color w:val="auto"/>
        </w:rPr>
      </w:pPr>
      <w:r w:rsidRPr="004F375F">
        <w:rPr>
          <w:rFonts w:ascii="Times New Roman" w:hAnsi="Times New Roman" w:cs="Times New Roman"/>
          <w:color w:val="auto"/>
          <w:sz w:val="28"/>
          <w:szCs w:val="28"/>
        </w:rPr>
        <w:t>(далее – Подпрограмма)</w:t>
      </w:r>
    </w:p>
    <w:p w:rsidR="00FC7E2E" w:rsidRPr="004F375F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8"/>
        </w:rPr>
      </w:pPr>
    </w:p>
    <w:tbl>
      <w:tblPr>
        <w:tblW w:w="0" w:type="auto"/>
        <w:tblInd w:w="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95"/>
        <w:gridCol w:w="7246"/>
      </w:tblGrid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министерство энергетики и жилищно-коммунального хозяйства Кировской области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4F375F">
            <w:pPr>
              <w:pStyle w:val="ConsPlusNormal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региональная служба по тарифам Кировской области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 w:rsidP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Наименования проектов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отсутствуют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Цель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 w:rsidP="00B400CB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обеспечение ускорения перевода экономики </w:t>
            </w:r>
            <w:r w:rsidR="00B400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Кировской области 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 </w:t>
            </w:r>
            <w:proofErr w:type="spellStart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энергоэффективный</w:t>
            </w:r>
            <w:proofErr w:type="spellEnd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путь развития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Задачи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совершенствование энергетического менеджмента;</w:t>
            </w:r>
          </w:p>
          <w:p w:rsidR="00FC7E2E" w:rsidRPr="005A4A50" w:rsidRDefault="00FC7E2E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расширение практики применения энергосберегающих технологий</w:t>
            </w:r>
          </w:p>
        </w:tc>
      </w:tr>
      <w:tr w:rsidR="00FC7E2E" w:rsidRPr="005A4A50" w:rsidTr="004F375F">
        <w:trPr>
          <w:trHeight w:val="626"/>
        </w:trPr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5C24CB" w:rsidP="002D2548">
            <w:pPr>
              <w:jc w:val="both"/>
              <w:rPr>
                <w:color w:val="auto"/>
              </w:rPr>
            </w:pPr>
            <w:r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>Срок</w:t>
            </w:r>
            <w:r w:rsidR="00FC7E2E" w:rsidRPr="005A4A50">
              <w:rPr>
                <w:rFonts w:ascii="Times New Roman" w:eastAsia="Courier New" w:hAnsi="Times New Roman" w:cs="Times New Roman"/>
                <w:color w:val="auto"/>
                <w:sz w:val="28"/>
                <w:szCs w:val="28"/>
              </w:rPr>
              <w:t xml:space="preserve"> реализации </w:t>
            </w:r>
            <w:r w:rsidR="00507D5F"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2020 – 2024 годы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Целевые показатели эффективности реализации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уровень декларирования потребления </w:t>
            </w:r>
            <w:r w:rsidR="004F37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энергетических ресурсов (далее – 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ЭР</w:t>
            </w:r>
            <w:r w:rsidR="004F375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государственными и муниципальными учреждениями;</w:t>
            </w:r>
          </w:p>
          <w:p w:rsidR="00FC7E2E" w:rsidRPr="005A4A50" w:rsidRDefault="00FC7E2E" w:rsidP="004F375F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доля зданий</w:t>
            </w:r>
            <w:r w:rsidR="004F375F"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 классом энергетической эффективности не ниже D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эксплуатируемых государственными и муниципальными учреждениями</w:t>
            </w:r>
          </w:p>
        </w:tc>
      </w:tr>
      <w:tr w:rsidR="00FC7E2E" w:rsidRPr="005A4A50"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5C24CB">
            <w:pPr>
              <w:pStyle w:val="ConsPlusNormal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Ресурсное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обеспечени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е</w:t>
            </w:r>
            <w:r w:rsidR="00FC7E2E"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7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общий объем финансирования 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007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464,60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рублей, в том числе:</w:t>
            </w:r>
          </w:p>
          <w:p w:rsidR="00FC7E2E" w:rsidRPr="005A4A50" w:rsidRDefault="00FC7E2E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средства областного бюджета 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257,30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рублей;</w:t>
            </w:r>
          </w:p>
          <w:p w:rsidR="00FC7E2E" w:rsidRPr="005A4A50" w:rsidRDefault="00FC7E2E" w:rsidP="00757F29">
            <w:pPr>
              <w:pStyle w:val="ConsPlusNormal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внебюджетные средства 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001</w:t>
            </w:r>
            <w:r w:rsid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 </w:t>
            </w:r>
            <w:r w:rsidR="00757F29" w:rsidRPr="00757F2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207,30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тыс. рублей</w:t>
            </w:r>
          </w:p>
        </w:tc>
      </w:tr>
    </w:tbl>
    <w:p w:rsidR="00FC7E2E" w:rsidRPr="005A4A50" w:rsidRDefault="00FC7E2E" w:rsidP="004F375F">
      <w:pPr>
        <w:pStyle w:val="ConsPlusNormal"/>
        <w:suppressAutoHyphens w:val="0"/>
        <w:ind w:left="993" w:hanging="284"/>
        <w:jc w:val="both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 Общая характеристика сферы реализации Подпрограммы,</w:t>
      </w:r>
      <w:r w:rsidR="004F37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в том числе формулировки основных проблем в указанной сфере</w:t>
      </w:r>
      <w:r w:rsidR="004F37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и прогноз ее развития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>
      <w:pPr>
        <w:pStyle w:val="a8"/>
        <w:suppressAutoHyphens w:val="0"/>
        <w:spacing w:after="0"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Кировская область с точки зрения потребления ЭР является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энергодефицитной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40% потребляемой электроэнергии поступает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перетоками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из других регионов, все первичные энергоресурсы, кроме торфа и древесины, являются завозными. Общий запас д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>ревесины составляет 1,2 млрд. куб. метров, Кировская область занимает 19-e место в России по ее запасам.  Промышленные запасы торфа составляют 378,3 млн. тонн (484 промышленно значимых месторождения площадью более 10 га).</w:t>
      </w:r>
    </w:p>
    <w:p w:rsidR="00FC7E2E" w:rsidRPr="005A4A50" w:rsidRDefault="00FC7E2E">
      <w:pPr>
        <w:pStyle w:val="a8"/>
        <w:suppressAutoHyphens w:val="0"/>
        <w:spacing w:after="0"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Энергосистема Кировской области охватывает всю </w:t>
      </w:r>
      <w:r w:rsidR="00B154A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ее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территорию, работает в составе 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бъединенной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энергетической системы Урала и Е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диной энергетической системы России и имеет связи с энергосистемами Пермского края, Костромской области, Нижегородской области, Архангельской области, Вологодской области, Республики Татарстан, Республики Марий Эл, Республики Коми и Удмуртской Республики. </w:t>
      </w:r>
    </w:p>
    <w:p w:rsidR="00FC7E2E" w:rsidRPr="0092139F" w:rsidRDefault="00FC7E2E" w:rsidP="0092139F">
      <w:pPr>
        <w:pStyle w:val="a8"/>
        <w:suppressAutoHyphens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Производство тепловой и электрической энергии осуществляется на 4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тепловых электрических станциях: 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Кировская ТЭЦ-1,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Кировская ТЭЦ-3, Кировская ТЭЦ-4 и Кировская ТЭЦ-5. </w:t>
      </w:r>
      <w:proofErr w:type="gramStart"/>
      <w:r w:rsidR="005C24CB"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Кировская</w:t>
      </w:r>
      <w:proofErr w:type="gramEnd"/>
      <w:r w:rsidR="005C24CB"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ТЭЦ-1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C24CB"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принадлежи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т </w:t>
      </w:r>
      <w:r w:rsidR="009213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кционерному обществу 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«Кировская ТЭЦ-1»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уммарная установленная мощность электростанций в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энергосистеме Кир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овской области составляет 971,3 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МВт и 2928,2 </w:t>
      </w:r>
      <w:r w:rsidRPr="005A4A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Гкал/</w:t>
      </w:r>
      <w:proofErr w:type="gramStart"/>
      <w:r w:rsidRPr="005A4A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ч</w:t>
      </w:r>
      <w:proofErr w:type="gramEnd"/>
      <w:r w:rsidRPr="005A4A50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.</w:t>
      </w:r>
    </w:p>
    <w:p w:rsidR="00FC7E2E" w:rsidRDefault="00FC7E2E">
      <w:pPr>
        <w:pStyle w:val="a8"/>
        <w:suppressAutoHyphens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selection_index3"/>
      <w:bookmarkEnd w:id="0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территории 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области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имеется в эксплуатации около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45 тыс. 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>километров линий электропередач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напряжением 500-0,4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кВ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>, около 12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тыс. трансформаторных подстанций. Основной объем электрооборудования и электрических линий находится на балансе четыр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х специализированных электросетевых организаций. Всего на территории 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>Кировской области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осуществляют деятельность по передаче электрической энергии 30</w:t>
      </w:r>
      <w:r w:rsidR="004F375F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территориальных сетевых организаций.</w:t>
      </w:r>
    </w:p>
    <w:p w:rsidR="00BD659A" w:rsidRPr="005A4A50" w:rsidRDefault="00BD659A">
      <w:pPr>
        <w:pStyle w:val="a8"/>
        <w:suppressAutoHyphens w:val="0"/>
        <w:spacing w:after="0" w:line="360" w:lineRule="auto"/>
        <w:ind w:firstLine="709"/>
        <w:jc w:val="both"/>
        <w:rPr>
          <w:color w:val="auto"/>
        </w:rPr>
      </w:pPr>
    </w:p>
    <w:p w:rsidR="00FC7E2E" w:rsidRPr="005A4A50" w:rsidRDefault="00FC7E2E">
      <w:pPr>
        <w:shd w:val="clear" w:color="auto" w:fill="FFFFFF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В связи со снижением собственного максимума потребления электроэнергии и вводом новых генерирующих мощностей на Кировской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ТЭЦ-3 и Кировской ТЭЦ-4 в энергосистеме Кировской области снизился дефицит мощности с 474 МВт в 2014 году до 366 МВт в 2018 году.</w:t>
      </w:r>
    </w:p>
    <w:p w:rsidR="004F375F" w:rsidRDefault="00FC7E2E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Энергоэффективность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энергосбережение Кировской области можно представить 4 стратегическими направлениями приоритетного технологического развития, а именно:</w:t>
      </w:r>
    </w:p>
    <w:p w:rsidR="004F375F" w:rsidRDefault="004D5F47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формирование нормативной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F375F" w:rsidRDefault="004D5F47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энергосервисных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контрактов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F375F" w:rsidRDefault="004D5F47">
      <w:pPr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эффективности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потребления </w:t>
      </w:r>
      <w:r>
        <w:rPr>
          <w:rFonts w:ascii="Times New Roman" w:hAnsi="Times New Roman" w:cs="Times New Roman"/>
          <w:color w:val="auto"/>
          <w:sz w:val="28"/>
          <w:szCs w:val="28"/>
        </w:rPr>
        <w:t>ЭР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7E2E" w:rsidRPr="005A4A50" w:rsidRDefault="004D5F47">
      <w:pPr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попу</w:t>
      </w:r>
      <w:r>
        <w:rPr>
          <w:rFonts w:ascii="Times New Roman" w:hAnsi="Times New Roman" w:cs="Times New Roman"/>
          <w:color w:val="auto"/>
          <w:sz w:val="28"/>
          <w:szCs w:val="28"/>
        </w:rPr>
        <w:t>ляризации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энергосберегающего образа жизни.</w:t>
      </w:r>
    </w:p>
    <w:p w:rsidR="00FC7E2E" w:rsidRPr="005A4A50" w:rsidRDefault="00FC7E2E">
      <w:pPr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Кировской области, как и в других регионах, создана информационная система мониторинга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энергоэффективности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бюджетного сектора – 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государственная информационная система в области энергосбережения и повышения энергетической эффективности (далее –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hi-IN"/>
        </w:rPr>
        <w:t>ГИС «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hi-IN"/>
        </w:rPr>
        <w:t>Энергоэффективность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hi-IN"/>
        </w:rPr>
        <w:t>»</w:t>
      </w:r>
      <w:r w:rsidR="004F375F">
        <w:rPr>
          <w:rFonts w:ascii="Times New Roman" w:eastAsia="Times New Roman" w:hAnsi="Times New Roman" w:cs="Times New Roman"/>
          <w:color w:val="auto"/>
          <w:sz w:val="28"/>
          <w:szCs w:val="28"/>
          <w:lang w:eastAsia="hi-IN"/>
        </w:rPr>
        <w:t>)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hi-IN"/>
        </w:rPr>
        <w:t>.</w:t>
      </w:r>
    </w:p>
    <w:p w:rsidR="00FC7E2E" w:rsidRPr="005A4A50" w:rsidRDefault="00FC7E2E">
      <w:pPr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Исходя из данных мониторинга бюджетного сектора определена</w:t>
      </w:r>
      <w:proofErr w:type="gram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степень эффективности потребления энергоресурсов зданиями бюджетной сферы, динамика показателей удельного потребления тепловой и электрической энергии, доля использования светодиодных светильников, уровень оснащенности приборами учета.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В 2018 году средний удельный расход тепловой энергии на снабжение государственных и муниципальных учреждений Кировской области снизился по отношению к прошлому году и составил 0,1788 Гкал/м². Средний удельный показатель снабжения электрической энергией государственных и муниципальных учреждений Кировской области также понизился и составил 28,47 кВт</w:t>
      </w:r>
      <w:r w:rsidRPr="005A4A50">
        <w:rPr>
          <w:rFonts w:ascii="Times New Roman" w:eastAsia="Symbol" w:hAnsi="Times New Roman" w:cs="Times New Roman"/>
          <w:color w:val="auto"/>
          <w:sz w:val="28"/>
          <w:szCs w:val="28"/>
        </w:rPr>
        <w:t>*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ч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>/м².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Средняя доля светодиодных источников света в уличном и дорожном хозяйстве государственных и муниципальных учреждений по Российской</w:t>
      </w:r>
      <w:r w:rsidR="00BD659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Федерации в 2017 году по данным энергетических деклараций составила 37%, в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области в 2018 году – 22%, данный показатель 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по Кировской области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повысился по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 отношению к прошлому году на 6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Средняя доля зданий, эксплуатируемых организациями бюджетного сектора, имеющих предварительный класс энергетической эффективности не ниже 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val="en-US"/>
        </w:rPr>
        <w:t>D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104AD0" w:rsidRPr="00104AD0">
        <w:rPr>
          <w:rFonts w:ascii="Times New Roman" w:hAnsi="Times New Roman" w:cs="Times New Roman"/>
          <w:color w:val="auto"/>
          <w:sz w:val="28"/>
          <w:szCs w:val="28"/>
        </w:rPr>
        <w:t xml:space="preserve">в 2018 году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выросла на 1% и составила 15,5%, по Российск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ой Федерации в 2017 году – 18,3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Кировской области зарекомендовал себя и успешно реализуется механизм экономического стимулирования энергосбережения – предоставление беспроцентных займов на мероприятия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 xml:space="preserve">по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энергосбережени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ю и повышению энергетической эффективности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400CB" w:rsidRPr="00B400CB">
        <w:rPr>
          <w:rFonts w:ascii="Times New Roman" w:hAnsi="Times New Roman" w:cs="Times New Roman"/>
          <w:color w:val="auto"/>
          <w:sz w:val="28"/>
          <w:szCs w:val="28"/>
        </w:rPr>
        <w:t>Д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анный механизм является одним из способов оказания финансовой поддержки по внедрению энергосберегающих проектов предприятиям и организациям 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Кировской области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За 2016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2018 годы беспроцентные займы по итогам конкурсных отборов были предоставлены 28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организациям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сумму 57,3 млн. рублей. Показатели победивших проектов указывают на высокую эффективность использования внебюджетных средств на энергосбережение. В среднем расчетный годовой экономический эффект проектов за 2016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2018 состави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35,5 млн. рублей, предоставленные сре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>дства в среднем окупаются за 1,5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В 2018 году увеличилось количество заключаемых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энергосервисных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контрактов. В Кировской области реализуется 30 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энергосервисных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контрактов, из них 4 контракта заключено в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ru-RU"/>
        </w:rPr>
        <w:t>I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квартале 2019 года. Планируемая годовая экономия по всем реализуемым контрактам составит 69,5 млн. рублей.</w:t>
      </w:r>
    </w:p>
    <w:p w:rsidR="00FC7E2E" w:rsidRPr="00CF23D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Одной из основных причин низкой конкурентоспособности товаров и услуг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производимых на территории Кировской области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является низкая энергетическая эффективность экономики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15A5C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Расход первичных энергетических ресурсов в расчете на единицу валового внутреннего продукта значительно больше, чем у стран с развитой экономикой, которые активно проводят государственную энергосберегающую политику,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осуществляют финансовую поддержку энергосбережения и законодательное регулирование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</w:t>
      </w:r>
      <w:r w:rsidR="00CF23D0">
        <w:rPr>
          <w:rFonts w:ascii="Times New Roman" w:hAnsi="Times New Roman" w:cs="Times New Roman"/>
          <w:color w:val="auto"/>
          <w:sz w:val="28"/>
          <w:szCs w:val="28"/>
        </w:rPr>
        <w:t>ости</w:t>
      </w:r>
      <w:proofErr w:type="spellEnd"/>
      <w:r w:rsidR="00CF23D0">
        <w:rPr>
          <w:rFonts w:ascii="Times New Roman" w:hAnsi="Times New Roman" w:cs="Times New Roman"/>
          <w:color w:val="auto"/>
          <w:sz w:val="28"/>
          <w:szCs w:val="28"/>
        </w:rPr>
        <w:t xml:space="preserve"> в сфере энергопотребления.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В Кировской области недостаточными темпами внедря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ются энергосберегающая техника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материал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передовые энергосберегающие технологии, механизмы финансирования. Не развита сфера малой энергетики на основе утилизации органических отходов и переработки ресурсов сельского и лесного хозяйства. Такому положению дел способствует отсутствие надлежащей информационной базы, отсутствие финансовых средств у производителей и потребителей продукции, значительные сложности с получением кредитов и заемных средств, отсутствие государственного стимулирования в сфере энергосбережения. 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Низкая эффективность использования дорогостоящих энергетических ресурсов в </w:t>
      </w:r>
      <w:r w:rsidR="005F195E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области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во многом обусловлена несовершенством системы управления энергосбережением, а также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недоработанностью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или отсутствием необходимых нормативно-правовых, финансово-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экономических механизмов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недостаточным и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некомплексным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их применением. Данная ситуация не стимулирует производителей и потребителей энергоресурсов снижать затраты на энергоносители.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Ввод новых мощностей в электроэнергетике Кировской области существенно отстает от роста объема физически изношенного (выработавшего нормативный ресурс) и морально устаревшего оборудования. Объем ремонтных работ, а также мероприятий по техническому перевооружению и реконструкции основных фондов, проводимых электросетевыми компаниями, недостаточен для существенного улучшения состояния электросетевых активов. В связи с этим технический износ основных фондов имеет тенденцию к росту. Степень износа оборудования трансформаторных подстанций напряжением 35-110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>кВ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составляет 71,3%.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Также сказывается недостаток квалифицированных кадров в области энергосбережения. Не осуществляются целенаправленное обучение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специалистов и пропаганда эффективных методов экономии ЭР на производстве и в быту. Не использован потенциал средств массовой информации в пропаганде вопросов энергосбережения.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Целью долгосрочной государственной энергетической политики России является максимально эффективное использование природных ресурсов и потенциала энергетического сектора для устойчивого роста экономики и повышения качества жизни населения.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Основными направлениями развития отраслей топливно-энергетического комплекса являются: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переход на путь инновационного и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энергоэффективного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развития;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изменение структуры и масштабов производства энергоресурсов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FC7E2E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Реализация </w:t>
      </w:r>
      <w:r w:rsidR="00137C71">
        <w:rPr>
          <w:rFonts w:ascii="Times New Roman" w:hAnsi="Times New Roman" w:cs="Times New Roman"/>
          <w:color w:val="auto"/>
          <w:sz w:val="28"/>
          <w:szCs w:val="28"/>
        </w:rPr>
        <w:t xml:space="preserve">основных </w:t>
      </w:r>
      <w:r w:rsidR="00137C71" w:rsidRPr="00137C71">
        <w:rPr>
          <w:rFonts w:ascii="Times New Roman" w:hAnsi="Times New Roman" w:cs="Times New Roman"/>
          <w:color w:val="auto"/>
          <w:sz w:val="28"/>
          <w:szCs w:val="28"/>
        </w:rPr>
        <w:t>направлений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активные действия по осуществлению мер, направленных на практическое энергосбережение и повышение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энергоэффективности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Кировская область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постепенное увеличение вложений в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энергоэффективное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оборудование, технологии и организационные решения, как в секторе домашних хозяйств, так и в промышленности и энергетике. </w:t>
      </w:r>
    </w:p>
    <w:p w:rsidR="00FC7E2E" w:rsidRDefault="00FC7E2E" w:rsidP="00137C71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Особая важность проблемы повышения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энергоэффективности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для экономики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области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диктуется тем, что он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имеет весьма высокую удельную энергоемкость экономики по сравнению с другими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субъектами Российской Федерации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По уровню энергоемкости </w:t>
      </w:r>
      <w:r w:rsidR="00137C71">
        <w:rPr>
          <w:rFonts w:ascii="Times New Roman" w:hAnsi="Times New Roman" w:cs="Times New Roman"/>
          <w:color w:val="auto"/>
          <w:sz w:val="28"/>
          <w:szCs w:val="28"/>
        </w:rPr>
        <w:t>валового регионального продукта (далее – ВРП)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Кировская область занимает 50 место в Российской Федерации и 9 место в Приволжском федеральном округе.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Энергоемкость ВРП Кировской области</w:t>
      </w:r>
      <w:r w:rsidR="00716C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за 2017 год составила 16,23 кг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у.т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./тыс. рублей, что </w:t>
      </w:r>
      <w:r w:rsidR="002D25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ниже планового значения на 2 </w:t>
      </w:r>
      <w:r w:rsidR="00716C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кг 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у.т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./тыс. рублей и на 0,7</w:t>
      </w:r>
      <w:r w:rsidR="00137C71" w:rsidRPr="00137C71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716CF4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кг </w:t>
      </w:r>
      <w:proofErr w:type="spellStart"/>
      <w:r w:rsidR="00137C71"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у.т</w:t>
      </w:r>
      <w:proofErr w:type="spellEnd"/>
      <w:r w:rsidR="00137C71"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./тыс. рублей </w:t>
      </w:r>
      <w:r w:rsidR="002D2548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фактического значения 2016 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года.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Энергоемкость ВРП Приволжского Федерального округа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представлена в таблице</w:t>
      </w:r>
      <w:r w:rsidR="00137C71">
        <w:rPr>
          <w:rFonts w:ascii="Times New Roman" w:hAnsi="Times New Roman" w:cs="Times New Roman"/>
          <w:color w:val="auto"/>
          <w:sz w:val="28"/>
          <w:szCs w:val="28"/>
        </w:rPr>
        <w:t xml:space="preserve"> 1.</w:t>
      </w:r>
    </w:p>
    <w:p w:rsidR="00824DC7" w:rsidRDefault="00824DC7" w:rsidP="00137C71">
      <w:pPr>
        <w:pStyle w:val="ConsPlusNormal"/>
        <w:widowControl w:val="0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37C71" w:rsidRDefault="00137C71" w:rsidP="00137C71">
      <w:pPr>
        <w:pStyle w:val="ConsPlusNormal"/>
        <w:widowControl w:val="0"/>
        <w:suppressAutoHyphens w:val="0"/>
        <w:spacing w:line="360" w:lineRule="auto"/>
        <w:ind w:right="282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137C71" w:rsidRPr="00137C71" w:rsidRDefault="005C24CB" w:rsidP="00137C71">
      <w:pPr>
        <w:pStyle w:val="ConsPlusNormal"/>
        <w:widowControl w:val="0"/>
        <w:suppressAutoHyphens w:val="0"/>
        <w:spacing w:line="360" w:lineRule="auto"/>
        <w:ind w:right="282" w:firstLine="709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Таблица</w:t>
      </w:r>
      <w:r w:rsidR="00137C71" w:rsidRPr="00137C71">
        <w:rPr>
          <w:rFonts w:ascii="Times New Roman" w:hAnsi="Times New Roman" w:cs="Times New Roman"/>
          <w:color w:val="auto"/>
          <w:sz w:val="28"/>
          <w:szCs w:val="28"/>
        </w:rPr>
        <w:t xml:space="preserve"> 1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86"/>
        <w:gridCol w:w="2126"/>
        <w:gridCol w:w="1843"/>
        <w:gridCol w:w="1736"/>
      </w:tblGrid>
      <w:tr w:rsidR="00FC7E2E" w:rsidRPr="005A4A50" w:rsidTr="00137C71">
        <w:tc>
          <w:tcPr>
            <w:tcW w:w="9391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E2E" w:rsidRPr="005A4A50" w:rsidRDefault="00507D5F" w:rsidP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Энергоемкость ВРП, </w:t>
            </w:r>
            <w:proofErr w:type="gramStart"/>
            <w:r w:rsidR="00716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кг</w:t>
            </w:r>
            <w:proofErr w:type="gramEnd"/>
            <w:r w:rsidR="00716C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5C24CB" w:rsidRPr="005C24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у.т</w:t>
            </w:r>
            <w:proofErr w:type="spellEnd"/>
            <w:r w:rsidR="005C24CB" w:rsidRPr="005C24C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./тыс. рублей</w:t>
            </w:r>
          </w:p>
        </w:tc>
      </w:tr>
      <w:tr w:rsidR="00FC7E2E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Регион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2015</w:t>
            </w:r>
            <w:r w:rsidR="004114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2016</w:t>
            </w:r>
            <w:r w:rsidR="004114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2017</w:t>
            </w:r>
            <w:r w:rsidR="004114B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Республика Татарстан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12,179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12,583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11,45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Пензенская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13,561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12,972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12,05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Удмуртская Республика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13,538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13,395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12,14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Чувашская Республика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15,643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15,321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13,77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Ульяновская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15,948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15,633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14,27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Нижегородская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17,359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18,351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14,72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Республика Мордовия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18,108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17,109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15,30</w:t>
            </w:r>
          </w:p>
        </w:tc>
      </w:tr>
      <w:tr w:rsidR="00FC7E2E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Республика Марий Эл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12,584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15,641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15,45</w:t>
            </w:r>
          </w:p>
        </w:tc>
      </w:tr>
      <w:tr w:rsidR="00137C71" w:rsidRPr="00137C71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137C71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137C7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Кировская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137C71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137C7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18,055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137C71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137C7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16,959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137C71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137C71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16,23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Саратовская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16,579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16,886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16,60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Самарская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19,919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17,152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17,75</w:t>
            </w:r>
          </w:p>
        </w:tc>
      </w:tr>
      <w:tr w:rsidR="00137C71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Республика Башкортостан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19,927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21,105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7C71" w:rsidRPr="005A4A50" w:rsidRDefault="00137C71" w:rsidP="00137C71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17,82</w:t>
            </w:r>
          </w:p>
        </w:tc>
      </w:tr>
      <w:tr w:rsidR="00FC7E2E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Пермский край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18,781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20,925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19,99</w:t>
            </w:r>
          </w:p>
        </w:tc>
      </w:tr>
      <w:tr w:rsidR="00FC7E2E" w:rsidRPr="005A4A50" w:rsidTr="00137C71">
        <w:tc>
          <w:tcPr>
            <w:tcW w:w="3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 w:rsidP="00137C71">
            <w:pPr>
              <w:pStyle w:val="ab"/>
              <w:suppressLineNumbers w:val="0"/>
              <w:suppressAutoHyphens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Оренбургская область</w:t>
            </w: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24,272</w:t>
            </w:r>
          </w:p>
        </w:tc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25,834</w:t>
            </w:r>
          </w:p>
        </w:tc>
        <w:tc>
          <w:tcPr>
            <w:tcW w:w="173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C7E2E" w:rsidRPr="005A4A50" w:rsidRDefault="00FC7E2E">
            <w:pPr>
              <w:pStyle w:val="ab"/>
              <w:suppressLineNumbers w:val="0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22,83</w:t>
            </w:r>
          </w:p>
        </w:tc>
      </w:tr>
    </w:tbl>
    <w:p w:rsidR="00FC7E2E" w:rsidRPr="005A4A50" w:rsidRDefault="00FC7E2E">
      <w:pPr>
        <w:pStyle w:val="ConsPlusNormal"/>
        <w:suppressAutoHyphens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92139F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Основными причинами </w:t>
      </w:r>
      <w:r w:rsidR="00137C71">
        <w:rPr>
          <w:rFonts w:ascii="Times New Roman" w:eastAsia="Times New Roman" w:hAnsi="Times New Roman" w:cs="Times New Roman"/>
          <w:color w:val="auto"/>
          <w:sz w:val="28"/>
          <w:szCs w:val="28"/>
        </w:rPr>
        <w:t>низкой энергоемкости ВРП Кировской области</w:t>
      </w:r>
      <w:r w:rsidR="005C24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являю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тся наличие значительного объема устаревшего энергопотребляющего оборудования и технологий, недостаточные стимулы к энергосбережению на практике. Реализация мероприятий по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>энергоэффективности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является альтернативой обеспечению экономики </w:t>
      </w:r>
      <w:r w:rsidR="00B154AF">
        <w:rPr>
          <w:rFonts w:ascii="Times New Roman" w:eastAsia="Times New Roman" w:hAnsi="Times New Roman" w:cs="Times New Roman"/>
          <w:color w:val="auto"/>
          <w:sz w:val="28"/>
          <w:szCs w:val="28"/>
        </w:rPr>
        <w:t>Кировской области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>энергомощностях</w:t>
      </w:r>
      <w:proofErr w:type="spellEnd"/>
      <w:r w:rsidRPr="005A4A50">
        <w:rPr>
          <w:rFonts w:ascii="Times New Roman" w:eastAsia="Times New Roman" w:hAnsi="Times New Roman" w:cs="Times New Roman"/>
          <w:color w:val="auto"/>
          <w:sz w:val="28"/>
          <w:szCs w:val="28"/>
        </w:rPr>
        <w:t>, поскольку инвестиции в энергосберегающие проекты до 8 раз меньше затрат, необходимых для создания аналогичных генерирующих мощностей.</w:t>
      </w:r>
    </w:p>
    <w:p w:rsidR="00824DC7" w:rsidRDefault="00824DC7">
      <w:pPr>
        <w:widowControl/>
        <w:suppressAutoHyphens w:val="0"/>
        <w:rPr>
          <w:rFonts w:ascii="Times New Roman" w:eastAsia="Courier New" w:hAnsi="Times New Roman" w:cs="Times New Roman"/>
          <w:b/>
          <w:color w:val="auto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</w:p>
    <w:p w:rsidR="00FC7E2E" w:rsidRPr="00CF23D0" w:rsidRDefault="00FC7E2E" w:rsidP="00137C71">
      <w:pPr>
        <w:pStyle w:val="ConsPlusNormal"/>
        <w:suppressAutoHyphens w:val="0"/>
        <w:ind w:left="851" w:hanging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</w:t>
      </w:r>
      <w:r w:rsidR="00137C7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Приоритеты государственной политики в сфере реализации</w:t>
      </w:r>
      <w:r w:rsidR="00137C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Подпрограммы, цели, задачи, целевые показатели эффективности</w:t>
      </w:r>
      <w:r w:rsidR="00137C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реализации Подпрограммы, срок</w:t>
      </w:r>
      <w:r w:rsidR="00B400CB">
        <w:rPr>
          <w:rFonts w:ascii="Times New Roman" w:hAnsi="Times New Roman" w:cs="Times New Roman"/>
          <w:b/>
          <w:color w:val="auto"/>
          <w:sz w:val="28"/>
          <w:szCs w:val="28"/>
        </w:rPr>
        <w:t>и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реализации Подпрограммы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  <w:highlight w:val="yellow"/>
        </w:rPr>
      </w:pP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Приоритеты государственной политики в сфере энергосбережения и повышения энергетической эффективности (в сфере реализации Подпрограммы) сформированы </w:t>
      </w:r>
      <w:proofErr w:type="gramStart"/>
      <w:r w:rsidR="00137C71">
        <w:rPr>
          <w:rFonts w:ascii="Times New Roman" w:hAnsi="Times New Roman" w:cs="Times New Roman"/>
          <w:color w:val="auto"/>
          <w:sz w:val="28"/>
          <w:szCs w:val="28"/>
        </w:rPr>
        <w:t>в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FC7E2E" w:rsidRPr="005A4A50" w:rsidRDefault="00137C71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Федеральном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C7E2E" w:rsidRPr="005A4A50"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закон</w:t>
      </w:r>
      <w:r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е</w:t>
      </w:r>
      <w:proofErr w:type="gramEnd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B400CB" w:rsidRPr="005A4A50" w:rsidRDefault="00B400CB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Энергетической </w:t>
      </w:r>
      <w:r w:rsidRPr="005A4A50"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стратеги</w:t>
      </w:r>
      <w:r w:rsidR="00137C71"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России на период до 2030 года, утвержденной распоряжением Правительства Российской Федерации от 13.11.2009 № 1715-р;</w:t>
      </w:r>
    </w:p>
    <w:p w:rsidR="00FC7E2E" w:rsidRPr="005A4A50" w:rsidRDefault="00137C71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распоряжении</w:t>
      </w:r>
      <w:proofErr w:type="gramEnd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Правительства Российской Федерации от 19.04.201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 xml:space="preserve">8  </w:t>
      </w:r>
      <w:r w:rsidR="006479D3">
        <w:rPr>
          <w:rFonts w:ascii="Times New Roman" w:hAnsi="Times New Roman" w:cs="Times New Roman"/>
          <w:color w:val="auto"/>
          <w:sz w:val="28"/>
          <w:szCs w:val="28"/>
        </w:rPr>
        <w:t xml:space="preserve">     № 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>703-р</w:t>
      </w:r>
      <w:r w:rsidR="00B400C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FC7E2E" w:rsidRPr="005A4A50" w:rsidRDefault="00E162C2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тратегии социально-экономического развития Кировской области.</w:t>
      </w: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Целью Подпрограммы является обеспечение ускорения перевода экономики </w:t>
      </w:r>
      <w:r w:rsidR="00E162C2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области на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энергоэффективный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путь развития.</w:t>
      </w: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Для достижения поставленной цели необходимо решить следующие задачи:</w:t>
      </w: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совершенствование энергетического менеджмента;</w:t>
      </w:r>
    </w:p>
    <w:p w:rsidR="00FC7E2E" w:rsidRPr="005A4A50" w:rsidRDefault="00FC7E2E" w:rsidP="00137C71">
      <w:pPr>
        <w:pStyle w:val="ConsPlusNormal"/>
        <w:shd w:val="clear" w:color="auto" w:fill="FFFFFF"/>
        <w:suppressAutoHyphens w:val="0"/>
        <w:snapToGrid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расширение практики применения энергосберегающих технологий.</w:t>
      </w:r>
    </w:p>
    <w:p w:rsidR="00FC7E2E" w:rsidRPr="005A4A50" w:rsidRDefault="00FC7E2E" w:rsidP="00137C71">
      <w:pPr>
        <w:shd w:val="clear" w:color="auto" w:fill="FFFFFF"/>
        <w:suppressAutoHyphens w:val="0"/>
        <w:snapToGrid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Целевыми показателями эффективности реализации Подпрограммы являются:</w:t>
      </w: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уровень декларирования потребления </w:t>
      </w:r>
      <w:r w:rsidR="00D10B11">
        <w:rPr>
          <w:rFonts w:ascii="Times New Roman" w:hAnsi="Times New Roman" w:cs="Times New Roman"/>
          <w:color w:val="auto"/>
          <w:sz w:val="28"/>
          <w:szCs w:val="28"/>
        </w:rPr>
        <w:t>энергетических ресурсов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государственными и муниципальными учреждениями;</w:t>
      </w:r>
    </w:p>
    <w:p w:rsidR="00FC7E2E" w:rsidRPr="005A4A50" w:rsidRDefault="00FC7E2E" w:rsidP="00137C71">
      <w:pPr>
        <w:pStyle w:val="ConsPlusNormal"/>
        <w:widowControl w:val="0"/>
        <w:shd w:val="clear" w:color="auto" w:fill="FFFFFF"/>
        <w:suppressAutoHyphens w:val="0"/>
        <w:snapToGrid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доля зданий</w:t>
      </w:r>
      <w:r w:rsidR="00900412" w:rsidRPr="0090041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00412" w:rsidRPr="005A4A50">
        <w:rPr>
          <w:rFonts w:ascii="Times New Roman" w:hAnsi="Times New Roman" w:cs="Times New Roman"/>
          <w:color w:val="auto"/>
          <w:sz w:val="28"/>
          <w:szCs w:val="28"/>
        </w:rPr>
        <w:t>с классом энергетической эффективности не ниже D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, эксплуатируемых государственным</w:t>
      </w:r>
      <w:r w:rsidR="00900412">
        <w:rPr>
          <w:rFonts w:ascii="Times New Roman" w:hAnsi="Times New Roman" w:cs="Times New Roman"/>
          <w:color w:val="auto"/>
          <w:sz w:val="28"/>
          <w:szCs w:val="28"/>
        </w:rPr>
        <w:t>и и муниципальными учреждениями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824DC7" w:rsidRDefault="00FC7E2E" w:rsidP="00137C71">
      <w:pPr>
        <w:suppressAutoHyphens w:val="0"/>
        <w:spacing w:line="360" w:lineRule="auto"/>
        <w:ind w:firstLine="709"/>
        <w:jc w:val="both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Сведения о целевых показателях эффективности реализации Подпрограммы приведены в приложении № 1</w:t>
      </w:r>
      <w:r w:rsidR="00137C71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к Государственной программе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.</w:t>
      </w:r>
    </w:p>
    <w:p w:rsidR="00824DC7" w:rsidRDefault="00824DC7">
      <w:pPr>
        <w:widowControl/>
        <w:suppressAutoHyphens w:val="0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br w:type="page"/>
      </w:r>
    </w:p>
    <w:p w:rsidR="00FC7E2E" w:rsidRPr="005A4A50" w:rsidRDefault="00FC7E2E" w:rsidP="00137C71">
      <w:pPr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lastRenderedPageBreak/>
        <w:t xml:space="preserve">Методика </w:t>
      </w:r>
      <w:proofErr w:type="gram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расчета значений целевых показателей </w:t>
      </w:r>
      <w:r w:rsidR="00507D5F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эффективности 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реализации Подпрограммы</w:t>
      </w:r>
      <w:proofErr w:type="gram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приведена в приложении № 2</w:t>
      </w:r>
      <w:r w:rsidR="00137C71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к Государственной программе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.</w:t>
      </w:r>
    </w:p>
    <w:p w:rsidR="00FC7E2E" w:rsidRPr="005A4A50" w:rsidRDefault="00FC7E2E" w:rsidP="00137C7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Срок реализации Подпрограммы: 2020 – 2024 годы. </w:t>
      </w:r>
    </w:p>
    <w:p w:rsidR="00FC7E2E" w:rsidRPr="005A4A50" w:rsidRDefault="00FC7E2E">
      <w:pPr>
        <w:pStyle w:val="ConsPlusNormal"/>
        <w:suppressAutoHyphens w:val="0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Default="00FC7E2E" w:rsidP="00137C71">
      <w:pPr>
        <w:pStyle w:val="ConsPlusNormal"/>
        <w:suppressAutoHyphens w:val="0"/>
        <w:ind w:left="993" w:hanging="284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137C71">
        <w:rPr>
          <w:rFonts w:ascii="Times New Roman" w:hAnsi="Times New Roman" w:cs="Times New Roman"/>
          <w:b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Обобщенная характеристика отдельных мероприятий,</w:t>
      </w:r>
      <w:r w:rsidR="00137C7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проектов Подпрограммы</w:t>
      </w:r>
    </w:p>
    <w:p w:rsidR="0092139F" w:rsidRPr="0092139F" w:rsidRDefault="0092139F" w:rsidP="00137C71">
      <w:pPr>
        <w:pStyle w:val="ConsPlusNormal"/>
        <w:suppressAutoHyphens w:val="0"/>
        <w:ind w:left="993" w:hanging="284"/>
        <w:jc w:val="both"/>
        <w:rPr>
          <w:color w:val="auto"/>
          <w:sz w:val="32"/>
        </w:rPr>
      </w:pPr>
    </w:p>
    <w:p w:rsidR="00FC7E2E" w:rsidRPr="005A4A50" w:rsidRDefault="00FC7E2E">
      <w:pPr>
        <w:pStyle w:val="ConsPlusNormal"/>
        <w:suppressAutoHyphens w:val="0"/>
        <w:jc w:val="center"/>
        <w:rPr>
          <w:color w:val="auto"/>
        </w:rPr>
      </w:pPr>
    </w:p>
    <w:p w:rsidR="00FC7E2E" w:rsidRPr="005A4A50" w:rsidRDefault="00B400CB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307B53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решение задачи «Совершенствование энергетического менеджмента» направлена реализация отдельного мероприятия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Проведение комплекса организационно-правовых мероприятий по управлению энергосбережением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FC7E2E" w:rsidRPr="005A4A50" w:rsidRDefault="00FC7E2E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В рамках реализации отдельного мероприятия планируется:</w:t>
      </w:r>
    </w:p>
    <w:p w:rsidR="00FC7E2E" w:rsidRPr="005A4A50" w:rsidRDefault="00FC7E2E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представление физическим лицам, организациям, </w:t>
      </w:r>
      <w:r w:rsidR="00B400CB">
        <w:rPr>
          <w:rFonts w:ascii="Times New Roman" w:hAnsi="Times New Roman" w:cs="Times New Roman"/>
          <w:color w:val="auto"/>
          <w:sz w:val="28"/>
          <w:szCs w:val="28"/>
        </w:rPr>
        <w:t>органам государственной власти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органам местного самоуправления 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муниципальных образований Кировской области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информации о требованиях законодательства об энергосбережении</w:t>
      </w:r>
      <w:r w:rsidR="00D54C37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 повышении энергетической эффективности и о ходе реализации его положений путем представления </w:t>
      </w:r>
      <w:r w:rsidR="00D54C37">
        <w:rPr>
          <w:rFonts w:ascii="Times New Roman" w:hAnsi="Times New Roman" w:cs="Times New Roman"/>
          <w:color w:val="auto"/>
          <w:sz w:val="28"/>
          <w:szCs w:val="28"/>
        </w:rPr>
        <w:t xml:space="preserve">указанной информации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оператору государственной информационной системы в области энергосбережения и повышения энергетической эффективности и размещения в информационно-телекоммуникационной сети «Интернет» </w:t>
      </w:r>
      <w:r w:rsidR="00D54C37">
        <w:rPr>
          <w:rFonts w:ascii="Times New Roman" w:hAnsi="Times New Roman" w:cs="Times New Roman"/>
          <w:color w:val="auto"/>
          <w:sz w:val="28"/>
          <w:szCs w:val="28"/>
        </w:rPr>
        <w:t>за счет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предоставления </w:t>
      </w:r>
      <w:r w:rsidR="00307B53" w:rsidRPr="00307B53">
        <w:rPr>
          <w:rFonts w:ascii="Times New Roman" w:hAnsi="Times New Roman" w:cs="Times New Roman"/>
          <w:color w:val="auto"/>
          <w:sz w:val="28"/>
          <w:szCs w:val="28"/>
        </w:rPr>
        <w:t>Кировскому областному государственному образовательному бюджетному учреждению</w:t>
      </w:r>
      <w:proofErr w:type="gramEnd"/>
      <w:r w:rsidR="00307B53" w:rsidRPr="00307B5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7B53">
        <w:rPr>
          <w:rFonts w:ascii="Times New Roman" w:hAnsi="Times New Roman" w:cs="Times New Roman"/>
          <w:color w:val="auto"/>
          <w:sz w:val="28"/>
          <w:szCs w:val="28"/>
        </w:rPr>
        <w:t xml:space="preserve">дополнительного профессионального образования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«Региональный центр энергетической эффективности» субсидии из областного бюджета на выполнение государственного задания на предоставление государственных услуг в области энергосбережения и повышения энергетической эффективности в соответствии с 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>поряд</w:t>
      </w:r>
      <w:r w:rsidR="00B154AF" w:rsidRPr="00B154A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B154AF">
        <w:rPr>
          <w:rFonts w:ascii="Times New Roman" w:hAnsi="Times New Roman" w:cs="Times New Roman"/>
          <w:color w:val="auto"/>
          <w:sz w:val="28"/>
          <w:szCs w:val="28"/>
        </w:rPr>
        <w:t xml:space="preserve">ом, утвержденным </w:t>
      </w:r>
      <w:r w:rsidR="00BD659A">
        <w:rPr>
          <w:rFonts w:ascii="Times New Roman" w:hAnsi="Times New Roman" w:cs="Times New Roman"/>
          <w:color w:val="auto"/>
          <w:sz w:val="28"/>
          <w:szCs w:val="28"/>
        </w:rPr>
        <w:t>Правительством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Кировской области;</w:t>
      </w:r>
    </w:p>
    <w:p w:rsidR="00FC7E2E" w:rsidRPr="005A4A50" w:rsidRDefault="00FC7E2E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информационное обеспечение реализации Подпрограммы, в том числе освещение в средствах массовой информации, проведение конференций, выставок, семинаров и иных мероприятий по пропаганде энергосбережения</w:t>
      </w:r>
      <w:r w:rsidR="00B400C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7E2E" w:rsidRPr="005A4A50" w:rsidRDefault="00FC7E2E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проведение экспертизы программ по энергосбережению организаций, осуществляющих регулируемые виды деятельности</w:t>
      </w:r>
      <w:r w:rsidR="00B400C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B400CB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3.2. 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решение задачи «Расширение практики применения энергосберегающих технологий» направлена реализация следующих отдельных мероприятий: </w:t>
      </w:r>
    </w:p>
    <w:p w:rsidR="00FC7E2E" w:rsidRPr="005A4A50" w:rsidRDefault="00B400CB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эффективности потребления </w:t>
      </w:r>
      <w:r w:rsidR="00D10B11">
        <w:rPr>
          <w:rFonts w:ascii="Times New Roman" w:hAnsi="Times New Roman" w:cs="Times New Roman"/>
          <w:color w:val="auto"/>
          <w:sz w:val="28"/>
          <w:szCs w:val="28"/>
        </w:rPr>
        <w:t>энергетических ресурсов в 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потребительском секторе</w:t>
      </w:r>
      <w:r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:rsidR="00FC7E2E" w:rsidRPr="005A4A50" w:rsidRDefault="00B400CB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>«</w:t>
      </w:r>
      <w:r w:rsidR="00193A85" w:rsidRPr="00193A85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 xml:space="preserve">Предоставление целевых займов </w:t>
      </w:r>
      <w:r w:rsidR="00D10B11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>за счет внебюджетных средств на </w:t>
      </w:r>
      <w:r w:rsidR="00193A85" w:rsidRPr="00193A85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 xml:space="preserve">мероприятия по энергосбережению победителям </w:t>
      </w:r>
      <w:r w:rsidR="00C85A2E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>отбора</w:t>
      </w:r>
      <w:r w:rsidR="00D866D5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>»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FC7E2E" w:rsidRPr="005A4A50" w:rsidRDefault="00D866D5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3.2.1.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рамках реализации отдельного мероприятия «Повышение эффективности потребления </w:t>
      </w:r>
      <w:r w:rsidR="00D10B11">
        <w:rPr>
          <w:rFonts w:ascii="Times New Roman" w:hAnsi="Times New Roman" w:cs="Times New Roman"/>
          <w:color w:val="auto"/>
          <w:sz w:val="28"/>
          <w:szCs w:val="28"/>
        </w:rPr>
        <w:t>энергетических ресурсов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потребительском секторе» планируется:</w:t>
      </w:r>
    </w:p>
    <w:p w:rsidR="00FC7E2E" w:rsidRPr="005A4A50" w:rsidRDefault="00193A85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193A8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 модернизации оборудования, используемого для потребления ЭР, в том числе</w:t>
      </w:r>
      <w:r w:rsidR="005C24CB">
        <w:rPr>
          <w:rFonts w:ascii="Times New Roman" w:hAnsi="Times New Roman" w:cs="Times New Roman"/>
          <w:color w:val="auto"/>
          <w:sz w:val="28"/>
          <w:szCs w:val="28"/>
        </w:rPr>
        <w:t xml:space="preserve"> по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замене оборудования на оборудование с более высоким коэффициентом полезного действия, внедрению инновационных решений и технологий в целях повышения энергетической эффективности при потреблении ЭР;</w:t>
      </w:r>
    </w:p>
    <w:p w:rsidR="00FC7E2E" w:rsidRPr="005A4A50" w:rsidRDefault="00193A85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193A85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</w:t>
      </w:r>
      <w:r>
        <w:rPr>
          <w:rFonts w:ascii="Times New Roman" w:hAnsi="Times New Roman" w:cs="Times New Roman"/>
          <w:color w:val="auto"/>
          <w:sz w:val="28"/>
          <w:szCs w:val="28"/>
        </w:rPr>
        <w:t>мероприятий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 анализу реализации </w:t>
      </w:r>
      <w:proofErr w:type="spellStart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энергосервисных</w:t>
      </w:r>
      <w:proofErr w:type="spellEnd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контрактов, </w:t>
      </w:r>
      <w:proofErr w:type="spellStart"/>
      <w:r w:rsidR="00E224A0">
        <w:rPr>
          <w:rFonts w:ascii="Times New Roman" w:hAnsi="Times New Roman" w:cs="Times New Roman"/>
          <w:color w:val="auto"/>
          <w:sz w:val="28"/>
          <w:szCs w:val="28"/>
        </w:rPr>
        <w:t>энерго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эффективности</w:t>
      </w:r>
      <w:proofErr w:type="spellEnd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зданий государственных и муниципальных учреждений на территории </w:t>
      </w:r>
      <w:r w:rsidR="004E6A69">
        <w:rPr>
          <w:rFonts w:ascii="Times New Roman" w:hAnsi="Times New Roman" w:cs="Times New Roman"/>
          <w:color w:val="auto"/>
          <w:sz w:val="28"/>
          <w:szCs w:val="28"/>
        </w:rPr>
        <w:t>Кировской области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D866D5" w:rsidP="00307B53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3.2.2.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В рамках реализации отдельного мероприятия «</w:t>
      </w:r>
      <w:r w:rsidR="00193A85" w:rsidRPr="00193A85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 xml:space="preserve">Предоставление целевых займов за счет внебюджетных средств на мероприятия по энергосбережению победителям </w:t>
      </w:r>
      <w:r w:rsidR="00C85A2E">
        <w:rPr>
          <w:rFonts w:ascii="Times New Roman" w:eastAsia="Arial" w:hAnsi="Times New Roman" w:cs="Times New Roman"/>
          <w:color w:val="auto"/>
          <w:sz w:val="28"/>
          <w:szCs w:val="28"/>
          <w:lang w:eastAsia="ru-RU" w:bidi="ru-RU"/>
        </w:rPr>
        <w:t>отбора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» планируется:</w:t>
      </w:r>
    </w:p>
    <w:p w:rsidR="00C85A2E" w:rsidRDefault="00FC7E2E" w:rsidP="00C85A2E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 </w:t>
      </w:r>
      <w:r w:rsidR="00D866D5">
        <w:rPr>
          <w:rFonts w:ascii="Times New Roman" w:hAnsi="Times New Roman" w:cs="Times New Roman"/>
          <w:color w:val="auto"/>
          <w:sz w:val="28"/>
          <w:szCs w:val="28"/>
        </w:rPr>
        <w:t>отбора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проектов </w:t>
      </w:r>
      <w:proofErr w:type="gramStart"/>
      <w:r w:rsidR="00775E20">
        <w:rPr>
          <w:rFonts w:ascii="Times New Roman" w:hAnsi="Times New Roman" w:cs="Times New Roman"/>
          <w:color w:val="auto"/>
          <w:sz w:val="28"/>
          <w:szCs w:val="28"/>
        </w:rPr>
        <w:t xml:space="preserve">по энергосбережению с целью их последующего финансирования за счет внебюджетных средств путем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целевых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займов на реализацию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проектов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по энергосбережению</w:t>
      </w:r>
      <w:proofErr w:type="gramEnd"/>
      <w:r w:rsidR="00C85A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66D5" w:rsidRDefault="00615A5C" w:rsidP="00D51D9F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предоставление</w:t>
      </w:r>
      <w:r w:rsidR="00775E2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целевых займов </w:t>
      </w:r>
      <w:r w:rsidR="00D866D5">
        <w:rPr>
          <w:rFonts w:ascii="Times New Roman" w:hAnsi="Times New Roman" w:cs="Times New Roman"/>
          <w:color w:val="auto"/>
          <w:sz w:val="28"/>
          <w:szCs w:val="28"/>
        </w:rPr>
        <w:t xml:space="preserve">победителям отбора на реализацию проектов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по энергосбережен</w:t>
      </w:r>
      <w:r w:rsidR="00D51D9F">
        <w:rPr>
          <w:rFonts w:ascii="Times New Roman" w:hAnsi="Times New Roman" w:cs="Times New Roman"/>
          <w:color w:val="auto"/>
          <w:sz w:val="28"/>
          <w:szCs w:val="28"/>
        </w:rPr>
        <w:t>ию</w:t>
      </w:r>
      <w:r w:rsidR="00D866D5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866D5" w:rsidRDefault="00D866D5" w:rsidP="002D2548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возврат целевых займов победителями отбора </w:t>
      </w:r>
      <w:r w:rsidR="00D51D9F">
        <w:rPr>
          <w:rFonts w:ascii="Times New Roman" w:hAnsi="Times New Roman" w:cs="Times New Roman"/>
          <w:color w:val="auto"/>
          <w:sz w:val="28"/>
          <w:szCs w:val="28"/>
        </w:rPr>
        <w:t xml:space="preserve">проектов по энергосбережению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за счет получаемой экономии от реализации проектов </w:t>
      </w:r>
      <w:r w:rsidR="00D51D9F">
        <w:rPr>
          <w:rFonts w:ascii="Times New Roman" w:hAnsi="Times New Roman" w:cs="Times New Roman"/>
          <w:color w:val="auto"/>
          <w:sz w:val="28"/>
          <w:szCs w:val="28"/>
        </w:rPr>
        <w:t>по энергосбережению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FC7E2E" w:rsidP="002D254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Порядок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формирования, использования внебюджетных средств на энергосбережение, проведения отбора проектов по энергосбережению и их финансировани</w:t>
      </w:r>
      <w:r w:rsidR="00D54C37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(далее – Порядок) приведен в приложении.</w:t>
      </w:r>
    </w:p>
    <w:p w:rsidR="00FC7E2E" w:rsidRPr="005A4A50" w:rsidRDefault="00FC7E2E" w:rsidP="002D2548">
      <w:pPr>
        <w:pStyle w:val="ConsPlusNormal"/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2D254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4. Ресурсное обеспечение Подпрограммы</w:t>
      </w:r>
    </w:p>
    <w:p w:rsidR="00FC7E2E" w:rsidRPr="005A4A50" w:rsidRDefault="00FC7E2E" w:rsidP="002D2548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57F29" w:rsidRPr="00757F29" w:rsidRDefault="00FC7E2E" w:rsidP="002D2548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Общий объем финансирования Подпрограммы составит</w:t>
      </w:r>
      <w:r w:rsidR="00757F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57F29" w:rsidRPr="00757F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757F2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57F29" w:rsidRPr="00757F29">
        <w:rPr>
          <w:rFonts w:ascii="Times New Roman" w:hAnsi="Times New Roman" w:cs="Times New Roman"/>
          <w:color w:val="auto"/>
          <w:sz w:val="28"/>
          <w:szCs w:val="28"/>
        </w:rPr>
        <w:t>007</w:t>
      </w:r>
      <w:r w:rsidR="00757F29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757F29" w:rsidRPr="00757F29">
        <w:rPr>
          <w:rFonts w:ascii="Times New Roman" w:hAnsi="Times New Roman" w:cs="Times New Roman"/>
          <w:color w:val="auto"/>
          <w:sz w:val="28"/>
          <w:szCs w:val="28"/>
        </w:rPr>
        <w:t>464,60 тыс. рублей, в том числе:</w:t>
      </w:r>
    </w:p>
    <w:p w:rsidR="00757F29" w:rsidRPr="00757F29" w:rsidRDefault="00757F29" w:rsidP="002D2548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7F29">
        <w:rPr>
          <w:rFonts w:ascii="Times New Roman" w:hAnsi="Times New Roman" w:cs="Times New Roman"/>
          <w:color w:val="auto"/>
          <w:sz w:val="28"/>
          <w:szCs w:val="28"/>
        </w:rPr>
        <w:t>средства областного бюджета – 6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57F29">
        <w:rPr>
          <w:rFonts w:ascii="Times New Roman" w:hAnsi="Times New Roman" w:cs="Times New Roman"/>
          <w:color w:val="auto"/>
          <w:sz w:val="28"/>
          <w:szCs w:val="28"/>
        </w:rPr>
        <w:t>257,30 тыс. рублей;</w:t>
      </w:r>
    </w:p>
    <w:p w:rsidR="00FC7E2E" w:rsidRPr="005A4A50" w:rsidRDefault="00757F29" w:rsidP="002D254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757F29">
        <w:rPr>
          <w:rFonts w:ascii="Times New Roman" w:hAnsi="Times New Roman" w:cs="Times New Roman"/>
          <w:color w:val="auto"/>
          <w:sz w:val="28"/>
          <w:szCs w:val="28"/>
        </w:rPr>
        <w:t>внебюджетные средства – 1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57F29">
        <w:rPr>
          <w:rFonts w:ascii="Times New Roman" w:hAnsi="Times New Roman" w:cs="Times New Roman"/>
          <w:color w:val="auto"/>
          <w:sz w:val="28"/>
          <w:szCs w:val="28"/>
        </w:rPr>
        <w:t>001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757F29">
        <w:rPr>
          <w:rFonts w:ascii="Times New Roman" w:hAnsi="Times New Roman" w:cs="Times New Roman"/>
          <w:color w:val="auto"/>
          <w:sz w:val="28"/>
          <w:szCs w:val="28"/>
        </w:rPr>
        <w:t>207,30 тыс. рублей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FC7E2E" w:rsidP="002D2548">
      <w:pPr>
        <w:suppressAutoHyphens w:val="0"/>
        <w:autoSpaceDE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Объем ежегодных расходов, связанных с финансовым обеспечением                 Подпрограммы за счет средств областного бюджета, устанавливается законом Кировской области об областном бюджете на очередной финансовый год и плановый период.</w:t>
      </w:r>
    </w:p>
    <w:p w:rsidR="00FC7E2E" w:rsidRDefault="00FC7E2E" w:rsidP="002D2548">
      <w:pPr>
        <w:suppressAutoHyphens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proofErr w:type="gramStart"/>
      <w:r w:rsidRPr="005A4A50">
        <w:rPr>
          <w:rFonts w:ascii="Times New Roman" w:hAnsi="Times New Roman" w:cs="Times New Roman"/>
          <w:iCs/>
          <w:color w:val="auto"/>
          <w:sz w:val="28"/>
          <w:szCs w:val="28"/>
          <w:lang w:eastAsia="ru-RU"/>
        </w:rPr>
        <w:t xml:space="preserve">Внебюджетными источниками финансирования являются 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средства 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организаций, осуществляющих деятельность в сфер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топливно-энергетического комплекса (в том ч</w:t>
      </w:r>
      <w:r w:rsidR="00615A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исле организаций, осуществляющих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регулируемые виды деятельности), привлекаемые по согласованию, а также средства потребителей </w:t>
      </w:r>
      <w:r w:rsidR="002B1ABE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сфере 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промышленности, жилищного фонда, предприятий агропромышлен</w:t>
      </w:r>
      <w:r w:rsidR="00D54C3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ного комплекса, иных организаций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proofErr w:type="gramEnd"/>
    </w:p>
    <w:p w:rsidR="00463D7E" w:rsidRPr="005A4A50" w:rsidRDefault="00463D7E" w:rsidP="002D2548">
      <w:pPr>
        <w:pStyle w:val="ConsPlusNormal"/>
        <w:suppressAutoHyphens w:val="0"/>
        <w:autoSpaceDE w:val="0"/>
        <w:spacing w:after="200" w:line="360" w:lineRule="auto"/>
        <w:ind w:firstLine="709"/>
        <w:contextualSpacing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Ресурсное </w:t>
      </w:r>
      <w:r w:rsidRPr="005A4A50">
        <w:rPr>
          <w:rStyle w:val="ListLabel5"/>
          <w:rFonts w:ascii="Times New Roman" w:hAnsi="Times New Roman" w:cs="Times New Roman"/>
          <w:color w:val="auto"/>
          <w:sz w:val="28"/>
          <w:szCs w:val="28"/>
        </w:rPr>
        <w:t>обеспечение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Подпрограммы приведено в приложении № 3                 к Государственной программе.</w:t>
      </w:r>
    </w:p>
    <w:p w:rsidR="00463D7E" w:rsidRDefault="00463D7E" w:rsidP="002D2548">
      <w:pPr>
        <w:pStyle w:val="ConsPlusNormal"/>
        <w:suppressAutoHyphens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финансирования по направлениям финансирования Подпрограммы приведены в таблице </w:t>
      </w:r>
      <w:r w:rsidR="00193A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0412" w:rsidRDefault="00900412" w:rsidP="00463D7E">
      <w:pPr>
        <w:pStyle w:val="ConsPlusNormal"/>
        <w:suppressAutoHyphens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3D7E" w:rsidRDefault="00463D7E" w:rsidP="00463D7E">
      <w:pPr>
        <w:pStyle w:val="ConsPlusNormal"/>
        <w:suppressAutoHyphens w:val="0"/>
        <w:spacing w:line="360" w:lineRule="auto"/>
        <w:ind w:firstLine="540"/>
        <w:contextualSpacing/>
        <w:jc w:val="both"/>
        <w:rPr>
          <w:rFonts w:ascii="Times New Roman" w:hAnsi="Times New Roman" w:cs="Times New Roman"/>
          <w:sz w:val="2"/>
          <w:szCs w:val="28"/>
        </w:rPr>
      </w:pPr>
    </w:p>
    <w:p w:rsidR="00463D7E" w:rsidRDefault="00463D7E" w:rsidP="00463D7E">
      <w:pPr>
        <w:pStyle w:val="ConsPlusNormal"/>
        <w:suppressAutoHyphens w:val="0"/>
        <w:spacing w:line="276" w:lineRule="auto"/>
        <w:contextualSpacing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193A85">
        <w:rPr>
          <w:rFonts w:ascii="Times New Roman" w:hAnsi="Times New Roman" w:cs="Times New Roman"/>
          <w:sz w:val="28"/>
          <w:szCs w:val="28"/>
        </w:rPr>
        <w:t>2</w:t>
      </w:r>
    </w:p>
    <w:p w:rsidR="00463D7E" w:rsidRPr="008D14D4" w:rsidRDefault="00463D7E" w:rsidP="005C24CB">
      <w:pPr>
        <w:pStyle w:val="ConsPlusTitle"/>
        <w:suppressAutoHyphens w:val="0"/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742" w:type="dxa"/>
        <w:tblInd w:w="-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1438"/>
        <w:gridCol w:w="1275"/>
        <w:gridCol w:w="1276"/>
        <w:gridCol w:w="1276"/>
        <w:gridCol w:w="1276"/>
        <w:gridCol w:w="1296"/>
      </w:tblGrid>
      <w:tr w:rsidR="00463D7E" w:rsidRPr="001D669C" w:rsidTr="00D54C37">
        <w:tc>
          <w:tcPr>
            <w:tcW w:w="1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Направления </w:t>
            </w:r>
            <w:proofErr w:type="spellStart"/>
            <w:proofErr w:type="gramStart"/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финансирова-ния</w:t>
            </w:r>
            <w:proofErr w:type="spellEnd"/>
            <w:proofErr w:type="gramEnd"/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Подпрограм</w:t>
            </w:r>
            <w:proofErr w:type="spellEnd"/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-мы</w:t>
            </w:r>
          </w:p>
        </w:tc>
        <w:tc>
          <w:tcPr>
            <w:tcW w:w="7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Объемы финансирования Подпрограммы, тыс. рублей</w:t>
            </w:r>
          </w:p>
        </w:tc>
      </w:tr>
      <w:tr w:rsidR="00463D7E" w:rsidRPr="001D669C" w:rsidTr="00D54C37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snapToGri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6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в том числе по годам</w:t>
            </w:r>
          </w:p>
        </w:tc>
      </w:tr>
      <w:tr w:rsidR="00463D7E" w:rsidRPr="001D669C" w:rsidTr="00D54C37">
        <w:tc>
          <w:tcPr>
            <w:tcW w:w="1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snapToGri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snapToGrid w:val="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 xml:space="preserve">2020 год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2023 год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  <w:jc w:val="center"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2024 год</w:t>
            </w:r>
          </w:p>
        </w:tc>
      </w:tr>
      <w:tr w:rsidR="00463D7E" w:rsidRPr="001D669C" w:rsidTr="005C24CB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Подпрограмма – всего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1007464,60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201396,90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201503,50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201511,40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201521,40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201531,40</w:t>
            </w:r>
          </w:p>
        </w:tc>
      </w:tr>
      <w:tr w:rsidR="00463D7E" w:rsidRPr="001D669C" w:rsidTr="005C24CB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1D669C" w:rsidRDefault="00463D7E" w:rsidP="005C24CB">
            <w:pPr>
              <w:suppressAutoHyphens w:val="0"/>
              <w:autoSpaceDE w:val="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3D7E" w:rsidRPr="001D669C" w:rsidTr="005C24CB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1001207,30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200145,30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200252,00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200260,00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200270,00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200280,00</w:t>
            </w:r>
          </w:p>
        </w:tc>
      </w:tr>
      <w:tr w:rsidR="00463D7E" w:rsidRPr="001D669C" w:rsidTr="005C24CB"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1D669C" w:rsidRDefault="00463D7E" w:rsidP="00D54C37">
            <w:pPr>
              <w:suppressAutoHyphens w:val="0"/>
              <w:autoSpaceDE w:val="0"/>
              <w:contextualSpacing/>
            </w:pPr>
            <w:r w:rsidRPr="001D669C">
              <w:rPr>
                <w:rFonts w:ascii="Times New Roman" w:eastAsia="Times New Roman" w:hAnsi="Times New Roman" w:cs="Times New Roman"/>
                <w:lang w:eastAsia="ru-RU"/>
              </w:rPr>
              <w:t>прочие расходы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6257,30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1251,60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1251,50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1251,40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1251,40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D7E" w:rsidRPr="00463D7E" w:rsidRDefault="00463D7E" w:rsidP="005C24CB">
            <w:pPr>
              <w:jc w:val="center"/>
              <w:rPr>
                <w:rFonts w:ascii="Times New Roman" w:hAnsi="Times New Roman" w:cs="Times New Roman"/>
              </w:rPr>
            </w:pPr>
            <w:r w:rsidRPr="00463D7E">
              <w:rPr>
                <w:rFonts w:ascii="Times New Roman" w:hAnsi="Times New Roman" w:cs="Times New Roman"/>
              </w:rPr>
              <w:t>1251,40</w:t>
            </w:r>
          </w:p>
        </w:tc>
      </w:tr>
    </w:tbl>
    <w:p w:rsidR="00FC7E2E" w:rsidRPr="009A61DD" w:rsidRDefault="00FC7E2E">
      <w:pPr>
        <w:pStyle w:val="ConsPlusNormal"/>
        <w:suppressAutoHyphens w:val="0"/>
        <w:spacing w:line="360" w:lineRule="auto"/>
        <w:rPr>
          <w:rFonts w:ascii="Times New Roman" w:hAnsi="Times New Roman" w:cs="Times New Roman"/>
          <w:color w:val="auto"/>
          <w:szCs w:val="28"/>
        </w:rPr>
      </w:pPr>
    </w:p>
    <w:p w:rsidR="00FC7E2E" w:rsidRPr="005A4A50" w:rsidRDefault="00193A85" w:rsidP="00193A85">
      <w:pPr>
        <w:pStyle w:val="ConsPlusNormal"/>
        <w:suppressAutoHyphens w:val="0"/>
        <w:ind w:left="993" w:hanging="284"/>
        <w:jc w:val="both"/>
        <w:rPr>
          <w:color w:val="auto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 </w:t>
      </w:r>
      <w:r w:rsidR="00FC7E2E" w:rsidRPr="005A4A50">
        <w:rPr>
          <w:rFonts w:ascii="Times New Roman" w:hAnsi="Times New Roman" w:cs="Times New Roman"/>
          <w:b/>
          <w:color w:val="auto"/>
          <w:sz w:val="28"/>
          <w:szCs w:val="28"/>
        </w:rPr>
        <w:t>Анализ рисков реализации Подпрограммы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b/>
          <w:color w:val="auto"/>
          <w:sz w:val="28"/>
          <w:szCs w:val="28"/>
        </w:rPr>
        <w:t>и описание мер управления рисками</w:t>
      </w:r>
    </w:p>
    <w:p w:rsidR="00FC7E2E" w:rsidRPr="009A61DD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8"/>
        </w:rPr>
      </w:pPr>
    </w:p>
    <w:p w:rsidR="00FC7E2E" w:rsidRDefault="00FC7E2E" w:rsidP="00193A85">
      <w:pPr>
        <w:suppressAutoHyphens w:val="0"/>
        <w:autoSpaceDE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В ходе реализации Подпрограммы могут возникнуть группы рисков</w:t>
      </w:r>
      <w:r w:rsidR="00900412">
        <w:rPr>
          <w:rFonts w:ascii="Times New Roman" w:hAnsi="Times New Roman" w:cs="Times New Roman"/>
          <w:color w:val="auto"/>
          <w:sz w:val="28"/>
          <w:szCs w:val="28"/>
        </w:rPr>
        <w:t>, представленные в таблице 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00412" w:rsidRPr="005A4A50" w:rsidRDefault="00900412" w:rsidP="00900412">
      <w:pPr>
        <w:suppressAutoHyphens w:val="0"/>
        <w:autoSpaceDE w:val="0"/>
        <w:spacing w:line="360" w:lineRule="auto"/>
        <w:ind w:right="140" w:firstLine="709"/>
        <w:jc w:val="right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Таблица 3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9"/>
        <w:gridCol w:w="4861"/>
      </w:tblGrid>
      <w:tr w:rsidR="00FC7E2E" w:rsidRPr="005A4A50" w:rsidTr="00526047">
        <w:trPr>
          <w:tblHeader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 w:rsidP="00193A85">
            <w:pPr>
              <w:suppressAutoHyphens w:val="0"/>
              <w:autoSpaceDE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Негативный фактор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FC7E2E" w:rsidP="00193A85">
            <w:pPr>
              <w:suppressAutoHyphens w:val="0"/>
              <w:autoSpaceDE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Способы минимизации рисков</w:t>
            </w:r>
          </w:p>
        </w:tc>
      </w:tr>
      <w:tr w:rsidR="00FC7E2E" w:rsidRPr="005A4A50" w:rsidTr="00193A85">
        <w:trPr>
          <w:trHeight w:val="20"/>
        </w:trPr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 w:rsidP="0092139F">
            <w:pPr>
              <w:suppressAutoHyphens w:val="0"/>
              <w:autoSpaceDE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Недостаточное финансир</w:t>
            </w:r>
            <w:r w:rsidR="0092139F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ование мероприятий Подпрограммы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за счет средств областного бюджета</w:t>
            </w:r>
          </w:p>
        </w:tc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0190" w:rsidRPr="00193A85" w:rsidRDefault="00900412" w:rsidP="00193A85">
            <w:pPr>
              <w:pStyle w:val="ConsPlusNormal"/>
              <w:autoSpaceDE w:val="0"/>
              <w:rPr>
                <w:color w:val="auto"/>
              </w:rPr>
            </w:pPr>
            <w:r w:rsidRPr="00900412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r w:rsidR="00FC7E2E"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пределение приоритетных направлений финансирования, а также привлечение внебюджетных источников</w:t>
            </w:r>
          </w:p>
        </w:tc>
      </w:tr>
      <w:tr w:rsidR="00FC7E2E" w:rsidRPr="005A4A50" w:rsidTr="00193A85">
        <w:trPr>
          <w:trHeight w:val="20"/>
        </w:trPr>
        <w:tc>
          <w:tcPr>
            <w:tcW w:w="46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7E2E" w:rsidRPr="005A4A50" w:rsidRDefault="00FC7E2E" w:rsidP="00193A85">
            <w:pPr>
              <w:pStyle w:val="ConsPlusNormal"/>
              <w:suppressAutoHyphens w:val="0"/>
              <w:autoSpaceDE w:val="0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Неисполнение </w:t>
            </w:r>
            <w:r w:rsidR="00D54C37" w:rsidRP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органами </w:t>
            </w:r>
            <w:r w:rsidR="00313B3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исполнительной </w:t>
            </w:r>
            <w:r w:rsidR="00D54C37" w:rsidRP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власти</w:t>
            </w:r>
            <w:r w:rsidR="005C24C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Кировской области</w:t>
            </w:r>
            <w:r w:rsidR="00D54C37" w:rsidRP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 w:rsidR="00313B3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органами местного самоуправления</w:t>
            </w:r>
            <w:r w:rsidR="005C24C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муниципальных образований Кировской области</w:t>
            </w:r>
            <w:r w:rsidR="00313B3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, </w:t>
            </w:r>
            <w:r w:rsidR="00D54C37" w:rsidRP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r w:rsid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рганизациями 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требований законодательства об энергосбережении и о повышении энергетической эффективности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2E" w:rsidRPr="005A4A50" w:rsidRDefault="00193A85" w:rsidP="00193A85">
            <w:pPr>
              <w:pStyle w:val="ConsPlusNormal"/>
              <w:autoSpaceDE w:val="0"/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193A85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у</w:t>
            </w:r>
            <w:r w:rsid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силение контроля уполномоченными органами</w:t>
            </w:r>
            <w:r w:rsidR="00313B36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исполнительной</w:t>
            </w:r>
            <w:r w:rsid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власти </w:t>
            </w:r>
            <w:r w:rsidR="005C24CB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Кировской области </w:t>
            </w:r>
            <w:r w:rsidR="00D54C37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исполнения требований </w:t>
            </w:r>
            <w:r w:rsidR="00D54C37"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>законодательства</w:t>
            </w:r>
            <w:proofErr w:type="gramEnd"/>
            <w:r w:rsidR="00D54C37" w:rsidRPr="005A4A50">
              <w:rPr>
                <w:rFonts w:ascii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об энергосбережении и о повышении энергетической эффективности</w:t>
            </w:r>
          </w:p>
        </w:tc>
      </w:tr>
    </w:tbl>
    <w:p w:rsidR="00474883" w:rsidRDefault="00474883">
      <w:pPr>
        <w:pStyle w:val="ConsPlusNormal"/>
        <w:suppressAutoHyphens w:val="0"/>
        <w:spacing w:line="360" w:lineRule="auto"/>
        <w:rPr>
          <w:rFonts w:ascii="Times New Roman" w:hAnsi="Times New Roman" w:cs="Times New Roman"/>
          <w:color w:val="auto"/>
          <w:sz w:val="20"/>
          <w:szCs w:val="28"/>
        </w:rPr>
      </w:pPr>
    </w:p>
    <w:p w:rsidR="00824DC7" w:rsidRDefault="00824DC7">
      <w:pPr>
        <w:widowControl/>
        <w:suppressAutoHyphens w:val="0"/>
        <w:rPr>
          <w:rFonts w:ascii="Times New Roman" w:eastAsia="Courier New" w:hAnsi="Times New Roman" w:cs="Times New Roman"/>
          <w:b/>
          <w:color w:val="auto"/>
          <w:sz w:val="28"/>
          <w:szCs w:val="28"/>
          <w:lang w:bidi="hi-IN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br w:type="page"/>
      </w:r>
    </w:p>
    <w:p w:rsidR="00FC7E2E" w:rsidRPr="005A4A50" w:rsidRDefault="00193A85" w:rsidP="005C24CB">
      <w:pPr>
        <w:pStyle w:val="ConsPlusTitle"/>
        <w:suppressAutoHyphens w:val="0"/>
        <w:ind w:left="993" w:hanging="284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6.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Участие акционерных обществ, созданных</w:t>
      </w:r>
      <w:r w:rsidRPr="00193A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с участием Кировской области, общественных, научных</w:t>
      </w:r>
      <w:r w:rsidRPr="00193A8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и иных организаций, а также государственных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внебюджетных фондов в реализации Подпрограммы</w:t>
      </w:r>
    </w:p>
    <w:p w:rsidR="00FC7E2E" w:rsidRPr="009A61DD" w:rsidRDefault="00FC7E2E">
      <w:pPr>
        <w:pStyle w:val="ConsPlusNormal"/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color w:val="auto"/>
          <w:sz w:val="20"/>
          <w:szCs w:val="28"/>
        </w:rPr>
      </w:pPr>
    </w:p>
    <w:p w:rsidR="00FC7E2E" w:rsidRPr="005A4A50" w:rsidRDefault="00FC7E2E" w:rsidP="00474883">
      <w:pPr>
        <w:suppressAutoHyphens w:val="0"/>
        <w:spacing w:line="336" w:lineRule="auto"/>
        <w:ind w:firstLine="709"/>
        <w:contextualSpacing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К реализации Подпрограммы могут привлекаться 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организации, осуществляющие деятельность в сфере</w:t>
      </w:r>
      <w:r w:rsidR="00526047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топливно-энергетического комплекса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(в 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том числе организации, осуществляющие регулируемые виды деятельности), а также потребители в сфере промышленности, жилищного фонда, предприятия агропромышленного комплекса, иные коммерческие и некоммерческие организации при условии обоснованности их участия.</w:t>
      </w:r>
    </w:p>
    <w:p w:rsidR="00FC7E2E" w:rsidRPr="005A4A50" w:rsidRDefault="00FC7E2E" w:rsidP="00474883">
      <w:pPr>
        <w:widowControl/>
        <w:suppressAutoHyphens w:val="0"/>
        <w:autoSpaceDE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реализации отдельного мероприятия «Проведение комплекса организационно-правовых мероприятий по управлению энергосбережением» участвует Кировское областное государственное унитарное предприятие «Агентство энергосбережения», которое проводит экспертизы программ по энергосбережению организаций, осуществляющих регулируемые виды деятельности.</w:t>
      </w:r>
    </w:p>
    <w:p w:rsidR="00FC7E2E" w:rsidRPr="005A4A50" w:rsidRDefault="00FC7E2E" w:rsidP="00474883">
      <w:pPr>
        <w:widowControl/>
        <w:suppressAutoHyphens w:val="0"/>
        <w:autoSpaceDE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В реализации отдельного мероприятия «Повышение эффективности потребления </w:t>
      </w:r>
      <w:r w:rsidR="00D10B11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энергетических ресурсов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потребительском секторе» участвуют 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организации, осуществляющие деятельность 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в разных сферах экономики (в том числе организации, осуществляющие регулируемые виды деятельности).</w:t>
      </w:r>
    </w:p>
    <w:p w:rsidR="00824DC7" w:rsidRDefault="004179A6" w:rsidP="00474883">
      <w:pPr>
        <w:widowControl/>
        <w:suppressAutoHyphens w:val="0"/>
        <w:autoSpaceDE w:val="0"/>
        <w:spacing w:line="33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При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реализации отдельного мероприятия «</w:t>
      </w:r>
      <w:r w:rsidRPr="004179A6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Предоставление целевых займов за счет внебюджетных средств на мероприятия по энергосбережению победителям </w:t>
      </w:r>
      <w:r w:rsidR="00615A5C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отбора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» Кировское областное государственное унитарное предприятие «Агентство энергосбережения» проводит в соответствии с действующим законодательством конкурсные процедуры по отбору 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проектов по энергосбережению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 Размер внебюджетных средств на энергосбережение утверждается региональной службой по тарифам Кировской области</w:t>
      </w:r>
      <w:r w:rsidR="00FC7E2E" w:rsidRPr="005A4A50">
        <w:rPr>
          <w:rFonts w:ascii="Arial" w:hAnsi="Arial" w:cs="Arial"/>
          <w:color w:val="auto"/>
          <w:sz w:val="20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для конкретной регулируемой организации</w:t>
      </w:r>
      <w:r w:rsidR="00FC7E2E" w:rsidRPr="0090041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  <w:r w:rsidR="00FC7E2E" w:rsidRPr="005A4A50">
        <w:rPr>
          <w:rFonts w:ascii="Arial" w:hAnsi="Arial" w:cs="Arial"/>
          <w:color w:val="auto"/>
          <w:sz w:val="20"/>
          <w:szCs w:val="28"/>
          <w:lang w:eastAsia="ru-RU"/>
        </w:rPr>
        <w:t xml:space="preserve">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Формирование внебюджетных средств на энергосбережение </w:t>
      </w:r>
      <w:r w:rsidR="0052604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осуществляется в соответствии с разделом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2 Порядка.</w:t>
      </w:r>
    </w:p>
    <w:p w:rsidR="00824DC7" w:rsidRDefault="00824DC7">
      <w:pPr>
        <w:widowControl/>
        <w:suppressAutoHyphens w:val="0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ru-RU"/>
        </w:rPr>
        <w:br w:type="page"/>
      </w:r>
    </w:p>
    <w:p w:rsidR="00ED1105" w:rsidRPr="00474883" w:rsidRDefault="00FC7E2E" w:rsidP="00474883">
      <w:pPr>
        <w:widowControl/>
        <w:suppressAutoHyphens w:val="0"/>
        <w:autoSpaceDE w:val="0"/>
        <w:spacing w:line="336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lastRenderedPageBreak/>
        <w:t xml:space="preserve">Прогнозный объем расходов </w:t>
      </w:r>
      <w:r w:rsidR="0078019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средств из внебюджетных источников приведен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в </w:t>
      </w:r>
      <w:r w:rsidR="00BB5C1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п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риложении № </w:t>
      </w:r>
      <w:r w:rsidR="001D6A0E">
        <w:rPr>
          <w:rFonts w:ascii="Times New Roman" w:hAnsi="Times New Roman" w:cs="Times New Roman"/>
          <w:color w:val="auto"/>
          <w:sz w:val="28"/>
          <w:szCs w:val="28"/>
          <w:lang w:eastAsia="ru-RU"/>
        </w:rPr>
        <w:t>6</w:t>
      </w:r>
      <w:r w:rsidR="00BB5C1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к Государственной программе</w:t>
      </w:r>
      <w:r w:rsidRPr="005A4A50">
        <w:rPr>
          <w:rFonts w:ascii="Times New Roman" w:hAnsi="Times New Roman" w:cs="Times New Roman"/>
          <w:color w:val="auto"/>
          <w:sz w:val="28"/>
          <w:szCs w:val="28"/>
          <w:lang w:eastAsia="ru-RU"/>
        </w:rPr>
        <w:t>.</w:t>
      </w:r>
    </w:p>
    <w:p w:rsidR="00FC7E2E" w:rsidRPr="005A4A50" w:rsidRDefault="00ED1105" w:rsidP="00474883">
      <w:pPr>
        <w:autoSpaceDE w:val="0"/>
        <w:spacing w:after="48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FC7E2E" w:rsidRPr="005A4A50" w:rsidRDefault="00FC7E2E">
      <w:pPr>
        <w:rPr>
          <w:color w:val="auto"/>
        </w:rPr>
        <w:sectPr w:rsidR="00FC7E2E" w:rsidRPr="005A4A50" w:rsidSect="00BD659A">
          <w:headerReference w:type="default" r:id="rId9"/>
          <w:pgSz w:w="11906" w:h="16838"/>
          <w:pgMar w:top="1134" w:right="567" w:bottom="1276" w:left="1701" w:header="720" w:footer="720" w:gutter="0"/>
          <w:pgNumType w:start="97"/>
          <w:cols w:space="720"/>
          <w:docGrid w:linePitch="326"/>
        </w:sectPr>
      </w:pPr>
    </w:p>
    <w:p w:rsidR="00FC7E2E" w:rsidRPr="005A4A50" w:rsidRDefault="00FC7E2E" w:rsidP="006269B8">
      <w:pPr>
        <w:pStyle w:val="ConsPlusNormal"/>
        <w:suppressAutoHyphens w:val="0"/>
        <w:spacing w:line="360" w:lineRule="auto"/>
        <w:ind w:left="7230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Приложение </w:t>
      </w:r>
    </w:p>
    <w:p w:rsidR="00FC7E2E" w:rsidRPr="005A4A50" w:rsidRDefault="00FC7E2E" w:rsidP="006269B8">
      <w:pPr>
        <w:pStyle w:val="ConsPlusNormal"/>
        <w:suppressAutoHyphens w:val="0"/>
        <w:ind w:left="7230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6269B8">
      <w:pPr>
        <w:pStyle w:val="ConsPlusNormal"/>
        <w:suppressAutoHyphens w:val="0"/>
        <w:spacing w:line="360" w:lineRule="auto"/>
        <w:ind w:left="7230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к Подпрограмме</w:t>
      </w:r>
    </w:p>
    <w:p w:rsidR="00FC7E2E" w:rsidRPr="005A4A50" w:rsidRDefault="00FC7E2E">
      <w:pPr>
        <w:pStyle w:val="ConsPlusNormal"/>
        <w:suppressAutoHyphens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>
      <w:pPr>
        <w:pStyle w:val="ConsPlusNormal"/>
        <w:suppressAutoHyphens w:val="0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ПОРЯДОК</w:t>
      </w:r>
    </w:p>
    <w:p w:rsidR="00FC7E2E" w:rsidRPr="005A4A50" w:rsidRDefault="006269B8">
      <w:pPr>
        <w:pStyle w:val="ConsPlusNormal"/>
        <w:suppressAutoHyphens w:val="0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формирования, использования внебюджетных средств</w:t>
      </w:r>
    </w:p>
    <w:p w:rsidR="00FC7E2E" w:rsidRPr="005A4A50" w:rsidRDefault="006269B8">
      <w:pPr>
        <w:pStyle w:val="ConsPlusNormal"/>
        <w:suppressAutoHyphens w:val="0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на энергосбережение, проведения отбора проектов</w:t>
      </w:r>
    </w:p>
    <w:p w:rsidR="00FC7E2E" w:rsidRPr="005A4A50" w:rsidRDefault="006269B8">
      <w:pPr>
        <w:pStyle w:val="ConsPlusNormal"/>
        <w:suppressAutoHyphens w:val="0"/>
        <w:jc w:val="center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по энергосбережению и их финансирования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6269B8">
      <w:pPr>
        <w:pStyle w:val="ConsPlusNormal"/>
        <w:suppressAutoHyphens w:val="0"/>
        <w:spacing w:line="360" w:lineRule="auto"/>
        <w:ind w:left="709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Порядок формирования</w:t>
      </w:r>
      <w:r w:rsidR="006269B8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использования внебюджетных средств на энергосбережение, проведения отбора проектов по энергосбереже</w:t>
      </w:r>
      <w:r w:rsidR="006269B8">
        <w:rPr>
          <w:rFonts w:ascii="Times New Roman" w:hAnsi="Times New Roman" w:cs="Times New Roman"/>
          <w:color w:val="auto"/>
          <w:sz w:val="28"/>
          <w:szCs w:val="28"/>
        </w:rPr>
        <w:t>нию и их финансирования (далее –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Порядок) разработан в целях достижения целевых показателей и консолидации внебюджетных источников финансирования Государственной программы и определяет порядок подготовки и проведения отбора проектов по энергосбережению (далее </w:t>
      </w:r>
      <w:r w:rsidR="006269B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отбор), порядок и условия их финансирования, а также права и обязанности организатора и участников отбора, требования к проектам по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энергосбережению, условия выбора победителей отбора и оформление его результатов.</w:t>
      </w:r>
    </w:p>
    <w:p w:rsidR="00FC7E2E" w:rsidRPr="005A4A5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1.2. Целью проведения отбора является повышение эффективности потребления энергоресурсов в Кировской области, создание экономических, организационных, технических и технологических условий для реализации государственной политики по энергосбережению на территории Кировской области.</w:t>
      </w:r>
    </w:p>
    <w:p w:rsidR="00FC7E2E" w:rsidRPr="005A4A5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1.3. Организатором проведения отбора является Кировское областное государственное унитарное предприятие «Агентство энергосбережения» (далее </w:t>
      </w:r>
      <w:r w:rsidR="006269B8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 xml:space="preserve">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ператор).</w:t>
      </w:r>
    </w:p>
    <w:p w:rsidR="00FC7E2E" w:rsidRPr="00CF23D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1.4. Оператор и участники отбора при его подготовке и проведении обязаны руководствоваться нормативн</w:t>
      </w:r>
      <w:r w:rsidR="006269B8">
        <w:rPr>
          <w:rFonts w:ascii="Times New Roman" w:hAnsi="Times New Roman" w:cs="Times New Roman"/>
          <w:color w:val="auto"/>
          <w:sz w:val="28"/>
          <w:szCs w:val="28"/>
        </w:rPr>
        <w:t xml:space="preserve">ыми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правовыми актами Российской Федерации и Кировской области в области энергосбережения</w:t>
      </w:r>
      <w:r w:rsidR="00526047">
        <w:rPr>
          <w:rFonts w:ascii="Times New Roman" w:hAnsi="Times New Roman" w:cs="Times New Roman"/>
          <w:color w:val="auto"/>
          <w:sz w:val="28"/>
          <w:szCs w:val="28"/>
        </w:rPr>
        <w:t xml:space="preserve"> и повышения энергетической эффективности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настоящим Порядком.</w:t>
      </w:r>
    </w:p>
    <w:p w:rsidR="00FC7E2E" w:rsidRPr="005A4A5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1.5.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Организации, осуществляющие на территории Кировской области регулируемые виды деятельности в области водоснабжения и водоотведения, электро- и теплоэнергетики (далее </w:t>
      </w:r>
      <w:r w:rsidR="00463D7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регулируемые организации),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при представлении в региональную службу по тарифам Ки</w:t>
      </w:r>
      <w:r w:rsidR="00D36F8D">
        <w:rPr>
          <w:rFonts w:ascii="Times New Roman" w:hAnsi="Times New Roman" w:cs="Times New Roman"/>
          <w:color w:val="auto"/>
          <w:sz w:val="28"/>
          <w:szCs w:val="28"/>
        </w:rPr>
        <w:t>ровской области  (далее</w:t>
      </w:r>
      <w:r w:rsidR="00D36F8D" w:rsidRPr="00D36F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="00D36F8D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лужб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а) предложений на установление цен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тарифов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вправе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соста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ве предложений на установление цен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тарифов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вклю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чить предложения о включении в цену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тарифы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затрат на формирование внебюджетных средств на энергосбережение.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Указанные затраты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формирование внебюджетных средств на энергосбережение учитываются при установлении цен (тарифов) на товары, услуги для таких регулируемых организаций.</w:t>
      </w:r>
    </w:p>
    <w:p w:rsidR="00FC7E2E" w:rsidRPr="005A4A50" w:rsidRDefault="00FC7E2E" w:rsidP="006269B8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1.6. Деятельность по управлению внебюджетными средствами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энергосбережение осуществляется </w:t>
      </w:r>
      <w:r w:rsidR="00D36F8D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ператором.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D36F8D">
      <w:pPr>
        <w:pStyle w:val="ConsPlusNormal"/>
        <w:suppressAutoHyphens w:val="0"/>
        <w:spacing w:line="360" w:lineRule="auto"/>
        <w:ind w:left="709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2. Формирование внебюджетных средств на энергосбережение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Default="00FC7E2E" w:rsidP="00D36F8D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2.1. Совокупный размер внебюджетных средств на энерг</w:t>
      </w:r>
      <w:r w:rsidR="00D36F8D">
        <w:rPr>
          <w:rFonts w:ascii="Times New Roman" w:hAnsi="Times New Roman" w:cs="Times New Roman"/>
          <w:color w:val="auto"/>
          <w:sz w:val="28"/>
          <w:szCs w:val="28"/>
        </w:rPr>
        <w:t>осбережение, предусматриваемых 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лужбой на очередной финансовый год в тарифы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 товары, услуги регулируемых организаций (далее </w:t>
      </w:r>
      <w:r w:rsidR="00463D7E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совокупный размер внебюджетных средств на энергосбережение на очередной финансовый год), определяется по формуле:</w:t>
      </w:r>
    </w:p>
    <w:p w:rsidR="001F1EC2" w:rsidRDefault="001F1EC2" w:rsidP="00D36F8D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1F1EC2" w:rsidRDefault="001F1EC2" w:rsidP="001F1EC2">
      <w:pPr>
        <w:pStyle w:val="ConsPlusNormal"/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S</w:t>
      </w:r>
      <w:r w:rsidR="00D15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F1EC2">
        <w:rPr>
          <w:rFonts w:ascii="Times New Roman" w:hAnsi="Times New Roman" w:cs="Times New Roman"/>
          <w:color w:val="auto"/>
          <w:sz w:val="28"/>
          <w:szCs w:val="28"/>
        </w:rPr>
        <w:t>=</w:t>
      </w:r>
      <w:r w:rsidR="00D1573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Pr="001F1EC2">
        <w:rPr>
          <w:rFonts w:ascii="Times New Roman" w:hAnsi="Times New Roman" w:cs="Times New Roman"/>
          <w:color w:val="auto"/>
          <w:sz w:val="28"/>
          <w:szCs w:val="28"/>
        </w:rPr>
        <w:t>∑(</w:t>
      </w:r>
      <w:proofErr w:type="gramEnd"/>
      <w:r w:rsidRPr="001F1EC2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×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1F1EC2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пр</w:t>
      </w:r>
      <w:r>
        <w:rPr>
          <w:rFonts w:ascii="Times New Roman" w:hAnsi="Times New Roman" w:cs="Times New Roman"/>
          <w:color w:val="auto"/>
          <w:sz w:val="28"/>
          <w:szCs w:val="28"/>
          <w:vertAlign w:val="subscript"/>
          <w:lang w:val="en-US"/>
        </w:rPr>
        <w:t>i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), где:</w:t>
      </w:r>
    </w:p>
    <w:p w:rsidR="001F1EC2" w:rsidRPr="001F1EC2" w:rsidRDefault="001F1EC2" w:rsidP="001F1EC2">
      <w:pPr>
        <w:pStyle w:val="ConsPlusNormal"/>
        <w:suppressAutoHyphens w:val="0"/>
        <w:spacing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D36F8D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совокупный размер внебюджетных средств на энергосбережение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очередной финансовый год, млн. рублей;</w:t>
      </w:r>
    </w:p>
    <w:p w:rsidR="00FC7E2E" w:rsidRPr="005A4A50" w:rsidRDefault="00FC7E2E" w:rsidP="00D36F8D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ставка отчислений на энергосбережение, определяемая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w:anchor="Par32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2.2</w:t>
        </w:r>
      </w:hyperlink>
      <w:r w:rsidR="0092139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условных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92139F">
        <w:rPr>
          <w:rFonts w:ascii="Times New Roman" w:hAnsi="Times New Roman" w:cs="Times New Roman"/>
          <w:color w:val="auto"/>
          <w:sz w:val="28"/>
          <w:szCs w:val="28"/>
        </w:rPr>
        <w:t>диниц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7E2E" w:rsidRPr="005A4A50" w:rsidRDefault="00FC7E2E" w:rsidP="00D36F8D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пр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proofErr w:type="gramEnd"/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прогнозная база для i-й регулируемой организации, определяемая в соответствии с </w:t>
      </w:r>
      <w:hyperlink w:anchor="Par49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2.6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млн. рублей.</w:t>
      </w:r>
    </w:p>
    <w:p w:rsidR="00FC7E2E" w:rsidRPr="005A4A50" w:rsidRDefault="00FC7E2E" w:rsidP="00D36F8D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" w:name="Par32"/>
      <w:bookmarkEnd w:id="1"/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Ставка отчислений на энергосбережение определяется по формуле: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8345F0">
      <w:pPr>
        <w:pStyle w:val="ConsPlusNormal"/>
        <w:suppressAutoHyphens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color w:val="auto"/>
          <w:lang w:eastAsia="ru-RU" w:bidi="ar-SA"/>
        </w:rPr>
        <w:drawing>
          <wp:inline distT="0" distB="0" distL="0" distR="0">
            <wp:extent cx="1086052" cy="54346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-111" t="-206" r="-111" b="-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87" cy="54593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>
      <w:pPr>
        <w:pStyle w:val="ConsPlusNormal"/>
        <w:suppressAutoHyphens w:val="0"/>
        <w:spacing w:line="360" w:lineRule="auto"/>
        <w:ind w:firstLine="540"/>
        <w:jc w:val="both"/>
        <w:rPr>
          <w:color w:val="auto"/>
        </w:rPr>
      </w:pPr>
      <w:proofErr w:type="spellStart"/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V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внеб</w:t>
      </w:r>
      <w:proofErr w:type="spellEnd"/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размер внебюджетных источников финансирования, предусмотренных </w:t>
      </w:r>
      <w:r w:rsidR="00EF422E">
        <w:rPr>
          <w:rFonts w:ascii="Times New Roman" w:hAnsi="Times New Roman" w:cs="Times New Roman"/>
          <w:color w:val="auto"/>
          <w:sz w:val="28"/>
          <w:szCs w:val="28"/>
        </w:rPr>
        <w:t>под</w:t>
      </w:r>
      <w:hyperlink r:id="rId11" w:history="1">
        <w:r w:rsidR="00EF422E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3</w:t>
        </w:r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.3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ресурсного обеспечения Государственной</w:t>
      </w:r>
      <w:r w:rsidR="00264C1E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, являюще</w:t>
      </w:r>
      <w:r w:rsidR="00264C1E">
        <w:rPr>
          <w:rFonts w:ascii="Times New Roman" w:hAnsi="Times New Roman" w:cs="Times New Roman"/>
          <w:color w:val="auto"/>
          <w:sz w:val="28"/>
          <w:szCs w:val="28"/>
        </w:rPr>
        <w:t>гося</w:t>
      </w:r>
      <w:r w:rsidR="00D10B11">
        <w:rPr>
          <w:rFonts w:ascii="Times New Roman" w:hAnsi="Times New Roman" w:cs="Times New Roman"/>
          <w:color w:val="auto"/>
          <w:sz w:val="28"/>
          <w:szCs w:val="28"/>
        </w:rPr>
        <w:t xml:space="preserve"> приложением № 6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 Государственной программе, на соответствующий финансовый год, млн. рублей;</w:t>
      </w:r>
    </w:p>
    <w:p w:rsidR="00FC7E2E" w:rsidRPr="005A4A50" w:rsidRDefault="00FC7E2E">
      <w:pPr>
        <w:pStyle w:val="ConsPlusNormal"/>
        <w:suppressAutoHyphens w:val="0"/>
        <w:spacing w:line="360" w:lineRule="auto"/>
        <w:ind w:firstLine="540"/>
        <w:jc w:val="both"/>
        <w:rPr>
          <w:color w:val="auto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всех</w:t>
      </w:r>
      <w:proofErr w:type="spellEnd"/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прогнозная база для исчисления внебюджетных средств на энергосбережение на очередной финансовый год по всем регулируемым организациям (далее</w:t>
      </w:r>
      <w:r w:rsidR="00264C1E" w:rsidRPr="00264C1E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прогнозная база по всем регулируемым организациям), рассчитываемая в соответствии с </w:t>
      </w:r>
      <w:hyperlink w:anchor="Par47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2.5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млн. рублей.</w:t>
      </w:r>
    </w:p>
    <w:p w:rsidR="00FC7E2E" w:rsidRPr="005A4A50" w:rsidRDefault="00FC7E2E" w:rsidP="00264C1E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2.3. Рассчитанная ставка отчислений на энергосбережение утверждается распоряжением министерства энергетики и жилищно-коммунального хозяйс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тва Кировской области (далее</w:t>
      </w:r>
      <w:r w:rsidR="001F1EC2" w:rsidRPr="001F1EC2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инистерство) ежегодно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до 15 сентября года, предшествующего очередному финансовому году.</w:t>
      </w:r>
    </w:p>
    <w:p w:rsidR="00FC7E2E" w:rsidRPr="005A4A50" w:rsidRDefault="00FC7E2E" w:rsidP="00264C1E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2" w:name="Par40"/>
      <w:bookmarkEnd w:id="2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2.4. Размер внебюджетных средств на энергосбережение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для конкретной регулируемой организации определяется по формуле: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>
      <w:pPr>
        <w:pStyle w:val="ConsPlusNormal"/>
        <w:suppressAutoHyphens w:val="0"/>
        <w:spacing w:line="360" w:lineRule="auto"/>
        <w:jc w:val="center"/>
        <w:rPr>
          <w:color w:val="auto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= С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×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прi</w:t>
      </w:r>
      <w:proofErr w:type="spellEnd"/>
      <w:r w:rsidR="00D15733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где:</w:t>
      </w:r>
    </w:p>
    <w:p w:rsidR="00FC7E2E" w:rsidRPr="005A4A50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S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r w:rsidR="0050349D">
        <w:rPr>
          <w:rFonts w:ascii="Times New Roman" w:hAnsi="Times New Roman" w:cs="Times New Roman"/>
          <w:color w:val="auto"/>
          <w:sz w:val="28"/>
          <w:szCs w:val="28"/>
          <w:vertAlign w:val="subscript"/>
          <w:lang w:bidi="ru-RU"/>
        </w:rPr>
        <w:t xml:space="preserve"> </w:t>
      </w:r>
      <w:r w:rsidR="0050349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="001F1EC2" w:rsidRPr="001F1EC2">
        <w:rPr>
          <w:rFonts w:ascii="Times New Roman" w:hAnsi="Times New Roman" w:cs="Times New Roman"/>
          <w:color w:val="auto"/>
          <w:sz w:val="28"/>
          <w:szCs w:val="28"/>
          <w:vertAlign w:val="subscript"/>
          <w:lang w:bidi="ru-RU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размер внебюджетных средств на энергосбережение для конкретной регулируемой организации;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gramEnd"/>
      <w:r w:rsidR="001F1EC2" w:rsidRPr="001F1EC2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ставка отчислений на энергосбережение, определяемая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</w:t>
      </w:r>
      <w:hyperlink w:anchor="Par32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2.2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условных единиц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пр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i</w:t>
      </w:r>
      <w:proofErr w:type="spellEnd"/>
      <w:proofErr w:type="gramEnd"/>
      <w:r w:rsidR="001F1EC2" w:rsidRPr="001F1EC2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прогнозная база для i-й регулируемой организации, определяемая в соответствии с </w:t>
      </w:r>
      <w:hyperlink w:anchor="Par49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пунктом 2.6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млн. рублей.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3" w:name="Par47"/>
      <w:bookmarkEnd w:id="3"/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2.5. Прогнозная база по всем регулируемым организациям определяется как прогнозная стоимость подлежащих поставке (реализации) всеми регулируемыми организациями сторонним потребителям услуг водоснабжения, водоотведения, электрической и тепловой энергии (включая тепловую энергию в составе услуги по горячему водоснабжению)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очередном финансовом году, подлежащих оказанию всеми регулируемыми организациями сторонним потребителям услуг по передаче электрической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тепловой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энергии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очередном финансовом году исходя из прогнозных цен (тарифов) без учета налога на добавленную стоимость. Размер прогнозной базы по всем регулируемы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м организациям предоставляется службой                       в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инистерство ежегодно</w:t>
      </w:r>
      <w:r w:rsidR="005C790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до 1 сентября года, предшествующего очередному финансовому году.</w:t>
      </w:r>
    </w:p>
    <w:p w:rsidR="00FC7E2E" w:rsidRPr="005A4A50" w:rsidRDefault="00FC7E2E">
      <w:pPr>
        <w:pStyle w:val="ConsPlusNormal"/>
        <w:suppressAutoHyphens w:val="0"/>
        <w:spacing w:line="360" w:lineRule="auto"/>
        <w:ind w:firstLine="540"/>
        <w:jc w:val="both"/>
        <w:rPr>
          <w:color w:val="auto"/>
        </w:rPr>
      </w:pPr>
      <w:bookmarkStart w:id="4" w:name="Par49"/>
      <w:bookmarkEnd w:id="4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2.6. Прогнозная база для конкретной регулируемой организации определяется как прогнозная стоимость подлежащей поставке (реализации) конкретной регулируемой организацией сторонним потребителям электрической и тепловой энергии (включая тепловую энергию в составе услуги по горячему водоснабжению) в очередном финансовом году, подлежащих оказанию конкретной регулируемой организацией сторонним потребителям услуг водоснабжения, водоотведения, по передаче электрической и тепловой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энергии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очередном финансовом году исходя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из прогнозных цен (тарифов) без учета налога на добавленную стоимость. Размеры прогнозных баз для конкретных регулируем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ых организаций предоставляются 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лужбой в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инистерство ежегодно</w:t>
      </w:r>
      <w:r w:rsidR="005C7905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до 1 сентября года, предшествующего очередному финансовому году.</w:t>
      </w:r>
    </w:p>
    <w:p w:rsidR="00FC7E2E" w:rsidRPr="005A4A50" w:rsidRDefault="00FC7E2E" w:rsidP="00C85A2E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Министерство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до 30 сентября года, </w:t>
      </w:r>
      <w:r w:rsidR="00C85A2E" w:rsidRPr="005A4A50">
        <w:rPr>
          <w:rFonts w:ascii="Times New Roman" w:hAnsi="Times New Roman" w:cs="Times New Roman"/>
          <w:color w:val="auto"/>
          <w:sz w:val="28"/>
          <w:szCs w:val="28"/>
        </w:rPr>
        <w:t>предшествующего очередному финансовому году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соответствии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пунктом 2.4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 определяет размеры внебюджетных средств на энергосбережение для конкретной регулируемой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и направляет их в 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лужбу.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5" w:name="Par53"/>
      <w:bookmarkEnd w:id="5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2.7. Размер внебюджетных средств на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энергосбережение, утвержденный с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лужбой в ценах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тарифах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для конкретной регулируемой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организации, представляется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лужбой в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инистерство в течение 10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рабочих дней после утверждения цен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тарифов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для данной организации.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2.8. Министерство в течение 10 рабочих дней после представления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лужбой информации, указанной в </w:t>
      </w:r>
      <w:hyperlink w:anchor="Par53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пункте 2.7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доводит до конкретной регулируемой организации размер внебюджетных средств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энергосбережение, утвержденный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лужбой в ценах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тарифах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очередной финансовый год, для перечисления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ператору в соответствии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 с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действующим законодательством.</w:t>
      </w:r>
    </w:p>
    <w:p w:rsidR="00FC7E2E" w:rsidRPr="005A4A50" w:rsidRDefault="00FC7E2E" w:rsidP="0062477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6" w:name="Par57"/>
      <w:bookmarkEnd w:id="6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2.9. Внебюджетные средства на энергосбережение перечисляются регулируемыми организациями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ператору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расчетный сче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372FAF">
        <w:rPr>
          <w:rFonts w:ascii="Times New Roman" w:hAnsi="Times New Roman" w:cs="Times New Roman"/>
          <w:color w:val="auto"/>
          <w:sz w:val="28"/>
          <w:szCs w:val="28"/>
        </w:rPr>
        <w:t xml:space="preserve">, указанный на официальном сайте оператора в </w:t>
      </w:r>
      <w:r w:rsidR="00372FAF" w:rsidRPr="00372FAF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информационно-телекоммуникационной сети </w:t>
      </w:r>
      <w:r w:rsidR="00372FAF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372FAF" w:rsidRPr="00372FAF">
        <w:rPr>
          <w:rFonts w:ascii="Times New Roman" w:hAnsi="Times New Roman" w:cs="Times New Roman"/>
          <w:color w:val="auto"/>
          <w:sz w:val="28"/>
          <w:szCs w:val="28"/>
        </w:rPr>
        <w:t>Интернет</w:t>
      </w:r>
      <w:r w:rsidR="00372FAF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.</w:t>
      </w:r>
      <w:bookmarkStart w:id="7" w:name="_GoBack"/>
      <w:bookmarkEnd w:id="7"/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2.10. В случае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неперечисления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внебюджетных средств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энергосбережен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ие регулируемыми организациями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ператору в течение периода регулирования, в который они предусмотрены, </w:t>
      </w:r>
      <w:r w:rsidR="001F1EC2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лужбой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последующий период регулирования указанные средства исключаются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из цен (тарифов) на товары, услуги для таких регулируемых организаций.</w:t>
      </w:r>
    </w:p>
    <w:p w:rsidR="00FC7E2E" w:rsidRPr="005A4A50" w:rsidRDefault="00FC7E2E" w:rsidP="001F1EC2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8" w:name="Par67"/>
      <w:bookmarkEnd w:id="8"/>
      <w:r w:rsidRPr="005A4A50">
        <w:rPr>
          <w:rFonts w:ascii="Times New Roman" w:hAnsi="Times New Roman" w:cs="Times New Roman"/>
          <w:color w:val="auto"/>
          <w:sz w:val="28"/>
          <w:szCs w:val="28"/>
        </w:rPr>
        <w:t>2.11. В целях эффективного управления внебюджетными ср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едствами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 имеет право разместить временно свободные остатки внебюджетных средств на энергосбережение на депозите в банке, в котором открыт расчетный счет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 оператора.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Доход, полученный от размещения свободных остатков, направляется на поп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олнение внебюджетных </w:t>
      </w:r>
      <w:proofErr w:type="gramStart"/>
      <w:r w:rsidR="0050349D">
        <w:rPr>
          <w:rFonts w:ascii="Times New Roman" w:hAnsi="Times New Roman" w:cs="Times New Roman"/>
          <w:color w:val="auto"/>
          <w:sz w:val="28"/>
          <w:szCs w:val="28"/>
        </w:rPr>
        <w:t>средств</w:t>
      </w:r>
      <w:proofErr w:type="gramEnd"/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 на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энергосбережение.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9" w:name="Par69"/>
      <w:bookmarkEnd w:id="9"/>
      <w:r w:rsidRPr="005A4A50">
        <w:rPr>
          <w:rFonts w:ascii="Times New Roman" w:hAnsi="Times New Roman" w:cs="Times New Roman"/>
          <w:color w:val="auto"/>
          <w:sz w:val="28"/>
          <w:szCs w:val="28"/>
        </w:rPr>
        <w:t>2.12. Дополнительным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источник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ами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формирования внебюджетных средств на энергосбережение являются: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проценты и штрафные санкции, полученные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с  </w:t>
      </w:r>
      <w:hyperlink w:anchor="Par286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разделом 7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Порядка;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арендные платежи от сдачи в аренду 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полученного 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недвижимого имущества, 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на которое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обращен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о взыскание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за невозврат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внебюджетных средств</w:t>
      </w:r>
      <w:r w:rsidR="009D2D9E" w:rsidRPr="009D2D9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>на энергосбережение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, в части покрытия задолженности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основному долгу и начисленных штрафных санкций;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доходы от реализации 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полученного 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имущества, 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на которое</w:t>
      </w:r>
      <w:r w:rsidR="009D2D9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обращен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 xml:space="preserve">о взыскание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 невозврат внебюджетных средств на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энергосбережение, в части покрытия задолженности по основному долгу и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начисленных штрафных санкций;</w:t>
      </w:r>
    </w:p>
    <w:p w:rsidR="00FC7E2E" w:rsidRPr="005A4A50" w:rsidRDefault="00FC7E2E" w:rsidP="00B55D80">
      <w:pPr>
        <w:pStyle w:val="17"/>
        <w:tabs>
          <w:tab w:val="left" w:pos="1133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проценты за пользование целевым займом.</w:t>
      </w:r>
    </w:p>
    <w:p w:rsidR="00FC7E2E" w:rsidRPr="005A4A50" w:rsidRDefault="00C85A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2.13.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Средства, указанные в </w:t>
      </w:r>
      <w:hyperlink w:anchor="Par67" w:history="1">
        <w:r w:rsidR="00FC7E2E"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пунктах 2.11</w:t>
        </w:r>
      </w:hyperlink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w:anchor="Par69" w:history="1">
        <w:r w:rsidR="00FC7E2E" w:rsidRPr="00B55D8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2.12</w:t>
        </w:r>
      </w:hyperlink>
      <w:r w:rsidR="00B55D80">
        <w:rPr>
          <w:rFonts w:ascii="Times New Roman" w:hAnsi="Times New Roman" w:cs="Times New Roman"/>
          <w:sz w:val="28"/>
          <w:szCs w:val="28"/>
        </w:rPr>
        <w:t xml:space="preserve"> </w:t>
      </w:r>
      <w:r w:rsidR="00B55D80" w:rsidRPr="00B55D80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, после уплаты налогов и иных обязательных платежей, а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также отчислени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2D9E">
        <w:rPr>
          <w:rFonts w:ascii="Times New Roman" w:hAnsi="Times New Roman" w:cs="Times New Roman"/>
          <w:color w:val="auto"/>
          <w:sz w:val="28"/>
          <w:szCs w:val="28"/>
        </w:rPr>
        <w:t>в областной бюджет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подлежат зачислению на расчетный счет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 оператора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, указанный в пункте 2.9 настоящего Порядка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942A4E" w:rsidRDefault="00FC7E2E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Cs w:val="28"/>
        </w:rPr>
      </w:pP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3. Использование внебюджетных средств на энергосбережение</w:t>
      </w:r>
    </w:p>
    <w:p w:rsidR="00FC7E2E" w:rsidRPr="00942A4E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18"/>
          <w:szCs w:val="28"/>
        </w:rPr>
      </w:pP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0" w:name="Par78"/>
      <w:bookmarkEnd w:id="10"/>
      <w:r w:rsidRPr="005A4A50">
        <w:rPr>
          <w:rFonts w:ascii="Times New Roman" w:hAnsi="Times New Roman" w:cs="Times New Roman"/>
          <w:color w:val="auto"/>
          <w:sz w:val="28"/>
          <w:szCs w:val="28"/>
        </w:rPr>
        <w:t>3.1. Внебюджетные средства на энергосбережение направляются: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оснащению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3.1.2.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ероприятия по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предынвестиционной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подготовке проектов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мероприятий в области энергосбережения и повышения энергетической эффективности, включая разработку технико-экономических обоснований, бизнес-планов, разработку схем теплоснабжения, водоснабжения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водоотведения, а также проведение энергетических обследований.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3.1.3.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ероприятия по модернизации оборудования, используемого для выработки тепловой энергии, передачи, потребления электрической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тепловой энергии, в том числе замене оборудования на оборудование с более высоким коэффициентом полезного действия, внедрению инновационных решений и технологий в целях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повышения энергетической эффективности осуществления регулируемых видов деятельности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3.1.4.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расширению использования в качестве источников энергии вторичных энергетических ресурсов и (или) возобновляемых источников энергии.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3.1.5.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ероприятия, направленные на снижение потребления энергетических ресурсов на собственные нужды при осуществлении регулируемых видов деятельности.</w:t>
      </w:r>
    </w:p>
    <w:p w:rsidR="00FC7E2E" w:rsidRPr="005A4A50" w:rsidRDefault="0050349D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3.1.6. На м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ероприятия по сокращению потерь электрической энергии, тепловой энергии, воды при их передаче, а также мероприятия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по сокращению объемов электрической энергии, используемой при передаче (транспортировке) воды.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3.1.7. </w:t>
      </w:r>
      <w:proofErr w:type="gramStart"/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замещению бензина и дизельного топлива, используемых транспортными средствами в качестве моторного топлива, природным газом, газовыми смесями, сжиженным углеводородным газом, электрической энергией с учетом доступности использования, близости расположения к источникам природного газа, газовых смесей, электрической энергии и экономической целесообразности такого замещения, а также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с учетом тарифного регулирования и доступности гражданам платы.</w:t>
      </w:r>
      <w:proofErr w:type="gramEnd"/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1" w:name="Par86"/>
      <w:bookmarkEnd w:id="11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3.1.8.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информационной поддержке и пропаганде энергосбережения и повышения энергетической эффективности, в том числе издание информационно-аналитического журнала «Экономика Кировской области и топливно-энергетический комплекс» (ЭКО-ТЭК) (далее – журнал «ЭКО-ТЭК»), публикации в средствах массовой информации, проведение межрегионального форума по энергосбережению, обучающих семинаров, курсов, презентаций, выставок и участие в них, создание тел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е-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видеоматериалов, создание демонстрационных центров в области энергосбережения и повышения энергетической эффективности, информирование потребителей о возможности заключения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энергосервисных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договоров (контрактов) и об особенностях их заключения.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3.1.9.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обучению в области энергосбережения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повышения энергетической эффективности.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3.1.10.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беспеч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ение деятельности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 по управлению внебюджетными средствами на энергосбережение.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3.1.11.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ероприятия по проведению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ператором правовой, финансовой и технической экспертизы энергосбер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егающих мероприятий, изложенных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бизнес-плане претендента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 xml:space="preserve"> на получение целевого займа, и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проверка обоснованности расчета окупаемости проекта.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3.1.12.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плату расходов на содержание, обслуживание, хранение объектов (предметов) залога, полученных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ператором в результате обращения взыскания на заложенное имущество за неисполнение заемщиком принятых на себя обязательств.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3.1.13.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ероприятия по проведению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ператором экспертизы программ энергосбережения и повышения энергетической эффективности организаций, осуществляющих регулируемые виды деятельности.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2" w:name="Par92"/>
      <w:bookmarkEnd w:id="12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3.1.14. </w:t>
      </w:r>
      <w:proofErr w:type="gramStart"/>
      <w:r w:rsidR="0050349D">
        <w:rPr>
          <w:rFonts w:ascii="Times New Roman" w:hAnsi="Times New Roman" w:cs="Times New Roman"/>
          <w:color w:val="auto"/>
          <w:sz w:val="28"/>
          <w:szCs w:val="28"/>
        </w:rPr>
        <w:t>На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ероприятия по подготовке предложений по повышению эффективности потребления энергетических ресурсов в учреждениях, финансируемых из областного и местных бюджетов.</w:t>
      </w:r>
      <w:proofErr w:type="gramEnd"/>
    </w:p>
    <w:p w:rsidR="00FC7E2E" w:rsidRPr="005A4A50" w:rsidRDefault="00FC7E2E" w:rsidP="00B55D80">
      <w:pPr>
        <w:pStyle w:val="17"/>
        <w:tabs>
          <w:tab w:val="left" w:pos="900"/>
          <w:tab w:val="left" w:pos="1083"/>
          <w:tab w:val="left" w:pos="1300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3.1.15. </w:t>
      </w:r>
      <w:r w:rsidR="0050349D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На м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ероприятия по оказанию областным государственным                     и муниципальным учреждениям консультативной помощи по подготовке конкурсной документации для проведения закупочных процедур с целью заключения </w:t>
      </w:r>
      <w:proofErr w:type="spell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энергосервисного</w:t>
      </w:r>
      <w:proofErr w:type="spell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контракта, а также по исполнению заключенных </w:t>
      </w:r>
      <w:proofErr w:type="spell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энергосервисных</w:t>
      </w:r>
      <w:proofErr w:type="spell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контрактов в соответствии </w:t>
      </w:r>
      <w:r w:rsidR="00B55D8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                                       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 законодательством Российской Федерации.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3.1.16.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На п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рочие мероприятия, предусмотренные законодательством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области энергосбережения и повышения энергетической эффективности.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3.2. Мероприятия, указанные в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подпунктах 3.1.8</w:t>
      </w:r>
      <w:r w:rsidR="00B55D80" w:rsidRPr="00B55D8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3.1.15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финансируются за счет внебюджетных средств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энергосбережение согласно смете, ежегодно утверждаемой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 согласованию с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инистерством.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3.3. Финансирование мероприятий, указанных в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пункте 3.1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осуществляется на условиях возврата в виде целевого займа,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за исключением мероприятий, указанных в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подпунктах 3.1.8</w:t>
      </w:r>
      <w:r w:rsidR="00B55D80" w:rsidRPr="00B55D8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3.1.15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3.4. Предоставление внебюджетных средств на энергосбережение оформляется </w:t>
      </w:r>
      <w:r w:rsidR="0050349D">
        <w:rPr>
          <w:rFonts w:ascii="Times New Roman" w:hAnsi="Times New Roman" w:cs="Times New Roman"/>
          <w:color w:val="auto"/>
          <w:sz w:val="28"/>
          <w:szCs w:val="28"/>
        </w:rPr>
        <w:t>договором целевого займа между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и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победителем отбора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решения комиссии по проведению отбора проектов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энергосбережению (далее</w:t>
      </w:r>
      <w:r w:rsidR="00624770"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комиссия), оформленного протоколом.</w:t>
      </w:r>
    </w:p>
    <w:p w:rsidR="00FC7E2E" w:rsidRPr="005A4A50" w:rsidRDefault="00FC7E2E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3" w:name="Par101"/>
      <w:bookmarkEnd w:id="13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3.5. Оператор ежеквартально, до 20 числа месяца, следующего 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за отчетным кварталом, представляет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в письменной форме информацию о поступлении</w:t>
      </w:r>
      <w:r w:rsidR="00B55D8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расходовании внебюджетных средств на энергосбережение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лужбе и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инистерству.</w:t>
      </w:r>
    </w:p>
    <w:p w:rsidR="00FC7E2E" w:rsidRPr="005A4A50" w:rsidRDefault="00624770" w:rsidP="00B55D8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3.6.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Контроль 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за</w:t>
      </w:r>
      <w:proofErr w:type="gramEnd"/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полнотой и своевременностью возврата за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ймов 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заемщиками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 о</w:t>
      </w:r>
      <w:r w:rsidR="00FC7E2E" w:rsidRPr="005A4A50">
        <w:rPr>
          <w:rFonts w:ascii="Times New Roman" w:hAnsi="Times New Roman" w:cs="Times New Roman"/>
          <w:color w:val="auto"/>
          <w:sz w:val="28"/>
          <w:szCs w:val="28"/>
        </w:rPr>
        <w:t>ператор.</w:t>
      </w:r>
    </w:p>
    <w:p w:rsidR="00FC7E2E" w:rsidRPr="005A4A50" w:rsidRDefault="00FC7E2E">
      <w:pPr>
        <w:pStyle w:val="ConsPlusNormal"/>
        <w:suppressAutoHyphens w:val="0"/>
        <w:spacing w:line="360" w:lineRule="auto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62477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4. Организация отбора проектов по энергосбережению</w:t>
      </w:r>
    </w:p>
    <w:p w:rsidR="00FC7E2E" w:rsidRPr="005A4A50" w:rsidRDefault="00FC7E2E" w:rsidP="00624770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FC7E2E" w:rsidRPr="005A4A50" w:rsidRDefault="00FC7E2E" w:rsidP="0062477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4.1. Для проведения отбора формируется комиссия. Состав комиссии утверждается распоряжением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инистерства. В состав комиссии входят председатель, заместитель председателя, сек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ретарь и члены комиссии               (далее</w:t>
      </w:r>
      <w:r w:rsidR="00624770"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члены комиссии). В состав комиссии включаются представители органов исполнительной власти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Кировской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области, а также по согласованию представители организаций топливно-энергетического комплекса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образовательных организаций.</w:t>
      </w:r>
    </w:p>
    <w:p w:rsidR="00FC7E2E" w:rsidRPr="005A4A50" w:rsidRDefault="00FC7E2E" w:rsidP="00624770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4.2. Отбор проводится не реже одного раза в квартал при налич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ии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у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о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ператора внебюджетных средств на энергосбережение. Оператор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не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позднее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чем за один месяц до дня окончания приема заявок размещает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журнале «ЭКО-ТЭК» и (или) газете «Кировская правда», на сайте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ператора (www.energy-saving.ru), а также по усмотрению </w:t>
      </w:r>
      <w:r w:rsidR="00624770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 в иных средствах массовой информации Кировской области информацию о дате, времени и месте проведения отбора и дате, времени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 xml:space="preserve"> начала 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окончания приема заявок</w:t>
      </w:r>
      <w:r w:rsidR="00C85A2E">
        <w:rPr>
          <w:rFonts w:ascii="Times New Roman" w:hAnsi="Times New Roman" w:cs="Times New Roman"/>
          <w:color w:val="auto"/>
          <w:sz w:val="28"/>
          <w:szCs w:val="28"/>
        </w:rPr>
        <w:t>, определенных оператором.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4" w:name="Par112"/>
      <w:bookmarkEnd w:id="14"/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4.3.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отборе имеют право принимать участие юридические лица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(за исключением кредитных организаций) и индивидуальные предприниматели, зарегистрированные на территории Кировской области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не менее 1 года (за исключением организаций, оказывающих услуги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тепловодоснабжения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водоотведения населению), реализующие мероприятия по энергосбережению на территории Кировской области и использующие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не менее 10%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собственных средств на реализацию мероприятий </w:t>
      </w:r>
      <w:r>
        <w:rPr>
          <w:rFonts w:ascii="Times New Roman" w:hAnsi="Times New Roman" w:cs="Times New Roman"/>
          <w:color w:val="auto"/>
          <w:sz w:val="28"/>
          <w:szCs w:val="28"/>
        </w:rPr>
        <w:t>по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энергосбережению (далее</w:t>
      </w:r>
      <w:r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претенденты).</w:t>
      </w:r>
      <w:proofErr w:type="gramEnd"/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5" w:name="Par114"/>
      <w:bookmarkEnd w:id="15"/>
      <w:r w:rsidRPr="005A4A50">
        <w:rPr>
          <w:rFonts w:ascii="Times New Roman" w:hAnsi="Times New Roman" w:cs="Times New Roman"/>
          <w:color w:val="auto"/>
          <w:sz w:val="28"/>
          <w:szCs w:val="28"/>
        </w:rPr>
        <w:t>4.4. К участию в отборе допускаются только претенденты, удовлетворяющие следующим квалификационным требованиям: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задолженности по налоговым платежам, сборам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страховым взносам в бюджеты бюджетной системы Российской Федерации и внебюджетные фонды (далее – задолженность по налогам и сборам)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состоянию на первое число месяца подачи заявки на участие в отборе;</w:t>
      </w:r>
      <w:proofErr w:type="gramEnd"/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просроченной (неурегулированной) задолженности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расчетам за тепловую и электрическую энергию, услуги водоснабжения, водоотведения, поставленный газ и иные виды топлива;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участником отбора не может быть юридическое лицо, находящееся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состоянии реорганизации (за исключением преобразования)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или ликвидации, а также в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отношении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которого применяются процедуры, предусмотренные законодательством Российской Федерации о банкротстве, либо лицо, на имущество которого наложен арест или другие имущественные ограничения, а также если его деятельность приостановлена </w:t>
      </w:r>
      <w:r>
        <w:rPr>
          <w:rFonts w:ascii="Times New Roman" w:hAnsi="Times New Roman" w:cs="Times New Roman"/>
          <w:color w:val="auto"/>
          <w:sz w:val="28"/>
          <w:szCs w:val="28"/>
        </w:rPr>
        <w:t>в порядке, предусмотренном законодательством Российской Федерации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участником отбора не может быть индивидуальный предприниматель,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который прекратил деятельность в качестве индивидуального предпринимателя,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отношении которого применяются процедуры, предусмотренные законодательством Российской Федерации о банкротстве, либо на его имущество наложен арест или другие имущественные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ограничения, а также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деятельность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которого </w:t>
      </w:r>
      <w:r w:rsidRPr="003224FE">
        <w:rPr>
          <w:rFonts w:ascii="Times New Roman" w:hAnsi="Times New Roman" w:cs="Times New Roman"/>
          <w:color w:val="auto"/>
          <w:sz w:val="28"/>
          <w:szCs w:val="28"/>
        </w:rPr>
        <w:t>приостановлена в порядке, предусмотренном законодательством Российской Федерации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6" w:name="Par123"/>
      <w:bookmarkEnd w:id="16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4.5. К участию в отборе не допускаются претенденты, не возвратившие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заемы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(часть займа) из внебюджетных средств на энергосбережение, взятые ранее.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 Заявка на участие в отборе представляется в одном печатном экземпляре и на электронном носителе в формате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pdf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Все листы заявки должны быть пронумерованы, прошиты, заявка должна содержать опись входящих в состав документов по форме, утвержденной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ператором. Соблюдение участником отбора указанных требований означает,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что информация и документы, входящие в состав заявки на участие в отборе, поданы от имени участника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отбора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он несет ответственность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 подлинность и достоверность этой информации и документов. В составе заявки принимаются следующие документы:</w:t>
      </w:r>
    </w:p>
    <w:p w:rsidR="00901BA1" w:rsidRPr="00956505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4.6.1. Заявление на участие в отборе по форме, утвержденной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ператором, в котором указываются наименование проекта, сумма запрашиваемого займа,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фамилия, имя,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отчество</w:t>
      </w:r>
      <w:r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bidi="ru-RU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при наличии) руководителя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(индивидуального предпринимателя)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исполнителя с указанием контактного телефона и адреса электронной почты. На заявлении должны стоять номер, число, месяц, год </w:t>
      </w:r>
      <w:r w:rsidRPr="00956505">
        <w:rPr>
          <w:rFonts w:ascii="Times New Roman" w:hAnsi="Times New Roman" w:cs="Times New Roman"/>
          <w:color w:val="auto"/>
          <w:sz w:val="28"/>
          <w:szCs w:val="28"/>
        </w:rPr>
        <w:t>подачи заявления.</w:t>
      </w:r>
    </w:p>
    <w:p w:rsidR="00901BA1" w:rsidRPr="005A4A50" w:rsidRDefault="00901BA1" w:rsidP="00901BA1">
      <w:pPr>
        <w:pStyle w:val="17"/>
        <w:tabs>
          <w:tab w:val="left" w:pos="993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proofErr w:type="spellStart"/>
      <w:r w:rsidRPr="00956505">
        <w:rPr>
          <w:rFonts w:ascii="Times New Roman" w:hAnsi="Times New Roman" w:cs="Times New Roman"/>
          <w:color w:val="auto"/>
          <w:sz w:val="28"/>
          <w:szCs w:val="28"/>
        </w:rPr>
        <w:t>Ресурсоснабжающие</w:t>
      </w:r>
      <w:proofErr w:type="spellEnd"/>
      <w:r w:rsidRPr="00956505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в случае, если срок окупаемости проекта по энергосбережению, определенный в соответствии с абзацем вторым пункта 6.8 настоящего Порядка, превышает 2 года, в заявлении дополнительно указывают планируемый срок возврата займа.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4.6.2. Заверенные руководителем организации копии учредительных документов с отметкой регистрирующего органа. Подлинник</w:t>
      </w:r>
      <w:r>
        <w:rPr>
          <w:rFonts w:ascii="Times New Roman" w:hAnsi="Times New Roman" w:cs="Times New Roman"/>
          <w:color w:val="auto"/>
          <w:sz w:val="28"/>
          <w:szCs w:val="28"/>
        </w:rPr>
        <w:t>и учредительных документов пред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ставляются для обозрения.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4.6.3. Заверенные руководителем организации (индивидуальным предпринимателем) копия свидетельства о государственной регистрации юридического лица или индивидуального предпринимателя либо лист записи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из Единого государственного реестра юридических лиц (Единого государственного реестра индивидуальных предпринимателей) и копия свидетельства о постановке на налоговый учет.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4.6.4. Документ, подтверждающий полномочия лица на осуществление действий от имени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претендента </w:t>
      </w:r>
      <w:r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юридического лица, в соответствии с которым такое физическое лицо обладает правом действовать от имени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претендента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без доверенности. В случае если от имени </w:t>
      </w:r>
      <w:r w:rsidR="00C31930" w:rsidRPr="00C31930">
        <w:rPr>
          <w:rFonts w:ascii="Times New Roman" w:hAnsi="Times New Roman" w:cs="Times New Roman"/>
          <w:color w:val="auto"/>
          <w:sz w:val="28"/>
          <w:szCs w:val="28"/>
        </w:rPr>
        <w:t xml:space="preserve">претендента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– юридического лица </w:t>
      </w:r>
      <w:r w:rsidR="00615A5C">
        <w:rPr>
          <w:rFonts w:ascii="Times New Roman" w:hAnsi="Times New Roman" w:cs="Times New Roman"/>
          <w:color w:val="auto"/>
          <w:sz w:val="28"/>
          <w:szCs w:val="28"/>
        </w:rPr>
        <w:t>действует иное лицо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либо от имени претендента – индивидуального предпринимателя действует его представитель,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заявка должна содержать также доверенность, подписанную руководителем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 (индивидуальным предпринимателем),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либо заверенную в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установленном порядке копию указанной доверенности.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4.6.5.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Решение об одобрении или о совершении крупной сделки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случае, если требование о необходимости наличия такого решения для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совершения крупной сделки установлено законодательством Российской Федерации, учредительными документами юридического лица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для претендента получение займа является крупной сделкой, либо справка претендента о том, что получение целевого займа не является для него крупной сделкой.</w:t>
      </w:r>
      <w:proofErr w:type="gramEnd"/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4.6.6. Финансовая отчетность в зависимости от применяемой претендентом системы налогообложения.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Для юридических лиц: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копии бухгалтерского баланса, отчета о финансовых результатах, отчета об изменениях капитала, отчета о движении денежных средств за</w:t>
      </w:r>
      <w:r w:rsidR="00C31930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последний отчетный период (год) и копии деклараций по налогу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прибыль за последний отчетный год и на последнюю отчетную дату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(при применении общей системы налогообложения);</w:t>
      </w:r>
    </w:p>
    <w:p w:rsidR="00901BA1" w:rsidRPr="005A4A50" w:rsidRDefault="00901BA1" w:rsidP="00C31930">
      <w:pPr>
        <w:pStyle w:val="ConsPlusNormal"/>
        <w:suppressAutoHyphens w:val="0"/>
        <w:spacing w:line="336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копии деклараций по единому налогу на вмененный доход за последний отчетный год и за последние отчетные периоды текущего года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(при применении системы налогообложения в виде единого налога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вмененный доход);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копия декларации по упрощенной системе налогообложения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за 2 последних отчетных периода (года) и копии бухгалтерского баланса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отчета о финансовых результатах на последнюю отчетную дату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(при применении упрощенной системы налогообложения).</w:t>
      </w:r>
      <w:proofErr w:type="gramEnd"/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Для индивидуальных предпринимателей</w:t>
      </w:r>
      <w:r w:rsidRPr="0062477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копия декларации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за последний отчетный год, которая представляется в зависимости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от применяемой системы налогообложения и в которой отражены доходы индивидуального предпринимателя.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Вся финансовая отчетность принимается с отметкой налогового органа либо с приложением протокола входного контроля (если отчетность сдается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электронном виде).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4.6.7. Расшифровка дебиторской и кредиторской задолженности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 последний отчетный квартал и на конец календарного месяца, предшествующего месяцу подачи заявления.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4.6.8. Анкета претендента по форме, утвержденной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ператором.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4.6.9.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Бизнес-план проекта по энергосбережению, содержащий обоснование экономической целесообразности мероприятий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энергосбережению, расчет экономического эффекта от их внедрения, сведения о фактическом и планируемом потреблении энергетических ресурсов в натуральном и денежном выражении в расчете на год, источники финансирования (собственные и (или) привлеченные средства, средства займа), срок окупаемости, срок выполнения мероприятий, срок возврата займа, правоустанавливающие документы на объект, на котором планируется производить мероприятия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 энергосбережению. В бизнес-плане должны быть указаны технические характеристики устанавливаемого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энергоэффективного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оборудования, документы, обосновывающие стоимость приобретаемого оборудования и материалов (счета на оплату, коммерческие предложения (не менее трех), сметы на проведение работ).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4.6.10. При наличии в бизнес-плане проектов по переводу объектов энергоснабжения с твердого или жидкого топлива на газ претендент должен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приложить согласования о возможности подключения, согласование объемов потребления и состава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газопотребляющего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оборудования.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4.6.11.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аверенные руководителем организации (индивидуальным предпринимателем) копии титульных листов разделов проектной документации и пояснительную записку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 заявке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случае, если бизнес-план содержит проект по реконструкции или замене оборудования на опасных производственных объектах, объектах повышенной опасности, системах жизнеобеспечения, влияющих на безопасность людей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4.6.12. Сведения о наличии (отсутствии) просроченной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 неурегулированной задолженности по оплате потребленной электрической и тепловой энергии по состоянию на первое число месяца подачи заявки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на участие в отборе, подтвержденные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энергоснабжающими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организациями.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4.6.13. Справка налогового органа о состоянии расчетов по налогам, сборам, страховым взносам, полученная не ранее чем за 30 календарных дней до даты подачи заявки.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4.6.14. </w:t>
      </w:r>
      <w:r w:rsidRPr="005A4A5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Предлагаемые гарантии своевременного и полного возврата запрашиваемой суммы займа в виде письма на бланке лица, которое будет предоставлять обеспечение, с указанием вида обеспечения (с приложением подтверждающих документов), подписанного руководителем организации (индивидуальным предпринимателем)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4.6.15.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аверенная в установленном порядке копия титульного листа энергетического паспорта, составленного по результатам энергетического обследования, проведенного на объектах претендента, с приложением перечня типовых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по энергосбережению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повышению энергетической эффективности указанного паспорта, в котором должна быть изложена годовая э</w:t>
      </w:r>
      <w:r>
        <w:rPr>
          <w:rFonts w:ascii="Times New Roman" w:hAnsi="Times New Roman" w:cs="Times New Roman"/>
          <w:color w:val="auto"/>
          <w:sz w:val="28"/>
          <w:szCs w:val="28"/>
        </w:rPr>
        <w:t>кономия энергетических ресурсов в натуральном и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стоимостном выражении, затраты, средний срок окупаемости, согласованный срок внедрения заявленного на отбор энергосберегающего проекта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(п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ри наличии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  <w:proofErr w:type="gramEnd"/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4.6.16.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Декларация о соответствии претендента требованиям, указанным в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</w:t>
      </w:r>
      <w:r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ах 4.3 и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 xml:space="preserve"> 4.4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по форме, утвержденной оператором.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4.7. Оператор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течение 1</w:t>
      </w:r>
      <w:r w:rsidR="00747EDA">
        <w:rPr>
          <w:rFonts w:ascii="Times New Roman" w:hAnsi="Times New Roman" w:cs="Times New Roman"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рабочих дней со дня окончания приема заявок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4.7.1. Регистрирует представленные заявки на участие в отборе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день их поступления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4.7.2. Проверяет полноту комплектности документов, их соответствие требованиям действующего законодательства и настоящего Порядка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случае выявления замечаний к представленным в составе заявки документам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оператор в течение 1 рабочего дня уведомляет об этом заявителя по электронной почте, указанной в заявлении на участие в отборе, с предложением устранить замечания</w:t>
      </w:r>
      <w:r w:rsidR="00747EDA">
        <w:rPr>
          <w:rFonts w:ascii="Times New Roman" w:hAnsi="Times New Roman" w:cs="Times New Roman"/>
          <w:color w:val="auto"/>
          <w:sz w:val="28"/>
          <w:szCs w:val="28"/>
        </w:rPr>
        <w:t>, представив исправленные (недостающие) документы,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срок,</w:t>
      </w:r>
      <w:r w:rsidRPr="000F1DB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не превышающий 5 рабочих дней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со дня направления уведомления.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7" w:name="Par176"/>
      <w:bookmarkEnd w:id="17"/>
      <w:r>
        <w:rPr>
          <w:rFonts w:ascii="Times New Roman" w:hAnsi="Times New Roman" w:cs="Times New Roman"/>
          <w:color w:val="auto"/>
          <w:sz w:val="28"/>
          <w:szCs w:val="28"/>
        </w:rPr>
        <w:t>4.7.3. 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По результатам рассмотрения заявок принимает решение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о допуске или об отказе в допуске претендентов к участию в отборе,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 чем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 течение 2 рабочих дней со дня принятия решения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составляет протокол рассмотрения заявок, который подписывается руководителем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4.8. Оператор отказывает в допуске к участию претендентов в отборе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следующих случаях:</w:t>
      </w:r>
    </w:p>
    <w:p w:rsidR="00901BA1" w:rsidRPr="005A4A50" w:rsidRDefault="00BA6838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несоответствии представленных претендент</w:t>
      </w:r>
      <w:r w:rsidR="005F2590"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5F2590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документов требованиям, определенным пунктом 4.6 настоящ</w:t>
      </w:r>
      <w:r w:rsidR="00615A5C">
        <w:rPr>
          <w:rFonts w:ascii="Times New Roman" w:hAnsi="Times New Roman" w:cs="Times New Roman"/>
          <w:color w:val="auto"/>
          <w:sz w:val="28"/>
          <w:szCs w:val="28"/>
        </w:rPr>
        <w:t>его Порядка, или непредставлении (представлении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не в полном объеме) указанных документов (в случае, если выявленные оператором замечан</w:t>
      </w:r>
      <w:r w:rsidR="005F2590">
        <w:rPr>
          <w:rFonts w:ascii="Times New Roman" w:hAnsi="Times New Roman" w:cs="Times New Roman"/>
          <w:color w:val="auto"/>
          <w:sz w:val="28"/>
          <w:szCs w:val="28"/>
        </w:rPr>
        <w:t>ия не были устранены претендента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5F2590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 срок, указанный в абзаце втором подпункта 4.7.2 пункта 4.7 настоящего Порядка);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недостоверности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информации в представленной заявке;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несоответствии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претендентов условиям отбора, указанным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hyperlink w:anchor="Par112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пунктах 4.3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hyperlink w:anchor="Par114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4.4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hyperlink w:anchor="Par123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4.5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4.9. 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Оператор уведомляет претендент</w:t>
      </w:r>
      <w:r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 допуске или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об отказе в допуске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к участию в отборе </w:t>
      </w:r>
      <w:r>
        <w:rPr>
          <w:rFonts w:ascii="Times New Roman" w:hAnsi="Times New Roman" w:cs="Times New Roman"/>
          <w:color w:val="auto"/>
          <w:sz w:val="28"/>
          <w:szCs w:val="28"/>
        </w:rPr>
        <w:t>в течение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5 рабочих дней </w:t>
      </w:r>
      <w:r>
        <w:rPr>
          <w:rFonts w:ascii="Times New Roman" w:hAnsi="Times New Roman" w:cs="Times New Roman"/>
          <w:color w:val="auto"/>
          <w:sz w:val="28"/>
          <w:szCs w:val="28"/>
        </w:rPr>
        <w:t>со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дня </w:t>
      </w:r>
      <w:r>
        <w:rPr>
          <w:rFonts w:ascii="Times New Roman" w:hAnsi="Times New Roman" w:cs="Times New Roman"/>
          <w:color w:val="auto"/>
          <w:sz w:val="28"/>
          <w:szCs w:val="28"/>
        </w:rPr>
        <w:t>принятия решения посредством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факсимильной или электронной связи.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</w:t>
      </w:r>
      <w:r>
        <w:rPr>
          <w:rFonts w:ascii="Times New Roman" w:hAnsi="Times New Roman" w:cs="Times New Roman"/>
          <w:color w:val="auto"/>
          <w:sz w:val="28"/>
          <w:szCs w:val="28"/>
        </w:rPr>
        <w:t>10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Оператор готовит для членов комиссии экспертн</w:t>
      </w:r>
      <w:r>
        <w:rPr>
          <w:rFonts w:ascii="Times New Roman" w:hAnsi="Times New Roman" w:cs="Times New Roman"/>
          <w:color w:val="auto"/>
          <w:sz w:val="28"/>
          <w:szCs w:val="28"/>
        </w:rPr>
        <w:t>ые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я в отношении проектов по энергосбережению претендентов, допущенных к участию в отборе (далее – участники отбора),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путем проведения правовой, финансовой и технической экспертизы энергосберегающих мероприятий, включенных в бизнес-план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участников отбора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проверки обоснованности расчета окупаемости проект</w:t>
      </w:r>
      <w:r>
        <w:rPr>
          <w:rFonts w:ascii="Times New Roman" w:hAnsi="Times New Roman" w:cs="Times New Roman"/>
          <w:color w:val="auto"/>
          <w:sz w:val="28"/>
          <w:szCs w:val="28"/>
        </w:rPr>
        <w:t>ов по энергосбережению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течение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14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дней со дня </w:t>
      </w:r>
      <w:r>
        <w:rPr>
          <w:rFonts w:ascii="Times New Roman" w:hAnsi="Times New Roman" w:cs="Times New Roman"/>
          <w:color w:val="auto"/>
          <w:sz w:val="28"/>
          <w:szCs w:val="28"/>
        </w:rPr>
        <w:t>принятия решения о допуске претендентов к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ю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отборе. </w:t>
      </w:r>
      <w:proofErr w:type="gramEnd"/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Участники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отбора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обеспечива</w:t>
      </w:r>
      <w:r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т допуск представителей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на объект</w:t>
      </w:r>
      <w:r>
        <w:rPr>
          <w:rFonts w:ascii="Times New Roman" w:hAnsi="Times New Roman" w:cs="Times New Roman"/>
          <w:color w:val="auto"/>
          <w:sz w:val="28"/>
          <w:szCs w:val="28"/>
        </w:rPr>
        <w:t>ы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, где планируется реализация энергосберегающих мероприятий.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4.1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Оператор направляет членам комиссии на рассмотрение входящие в состав заявки бизнес-планы </w:t>
      </w:r>
      <w:r w:rsidR="00BA6838">
        <w:rPr>
          <w:rFonts w:ascii="Times New Roman" w:hAnsi="Times New Roman" w:cs="Times New Roman"/>
          <w:color w:val="auto"/>
          <w:sz w:val="28"/>
          <w:szCs w:val="28"/>
        </w:rPr>
        <w:t>участников отбора, а также экспертные заключения, указанные в пункте 4.10 настоящего Порядка,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не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позднее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5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рабочих дней до дня проведения отбора.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4.12. 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В случае если заявки претендентов не поступили в установленный срок либо все поступившие заявки не допущены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 основаниям, указанным в </w:t>
      </w:r>
      <w:hyperlink w:anchor="Par176" w:history="1"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пункт</w:t>
        </w:r>
        <w:r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>е</w:t>
        </w:r>
        <w:r w:rsidRPr="005A4A50">
          <w:rPr>
            <w:rStyle w:val="ListLabel2"/>
            <w:rFonts w:ascii="Times New Roman" w:hAnsi="Times New Roman" w:cs="Times New Roman"/>
            <w:color w:val="auto"/>
            <w:sz w:val="28"/>
            <w:szCs w:val="28"/>
          </w:rPr>
          <w:t xml:space="preserve"> 4.8</w:t>
        </w:r>
      </w:hyperlink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отбор признается несостоявшимся, о чем в течение 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0 рабочих дней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с даты окончания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приема заявок составляется протокол, который подписывается руководителем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</w:p>
    <w:p w:rsidR="00901BA1" w:rsidRPr="005A4A50" w:rsidRDefault="00901BA1" w:rsidP="00901BA1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851"/>
        <w:jc w:val="both"/>
        <w:rPr>
          <w:color w:val="auto"/>
        </w:rPr>
      </w:pP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5. Порядок проведения отбора проектов по энергосбережению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851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851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5.1. Отбор проводится комиссией под руководством председателя комиссии (при его отсутствии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комиссии) при наличии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не менее двух третьих ее членов. При проведении отбора имеют право присутствовать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руководители, иные уполномоченные представители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организаций – участников отбора, индивидуальные предприниматели – участники отбора и (или) их уполномоченные представители.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Отсутствие представителей </w:t>
      </w:r>
      <w:r>
        <w:rPr>
          <w:rFonts w:ascii="Times New Roman" w:hAnsi="Times New Roman" w:cs="Times New Roman"/>
          <w:color w:val="auto"/>
          <w:sz w:val="28"/>
          <w:szCs w:val="28"/>
        </w:rPr>
        <w:t>участников отбора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не является препятствием для проведения отбора.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851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5.2. Отбор проводится в два этапа.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851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5.2.1. На первом этапе члены комиссии голосуют по каждому проекту </w:t>
      </w:r>
      <w:r w:rsidR="00D14FFE">
        <w:rPr>
          <w:rFonts w:ascii="Times New Roman" w:hAnsi="Times New Roman" w:cs="Times New Roman"/>
          <w:color w:val="auto"/>
          <w:sz w:val="28"/>
          <w:szCs w:val="28"/>
        </w:rPr>
        <w:t>по энергосбережению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проект)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исходя из экономической целесообразности его реализации. По каждому проекту решение принимается простым большинством голосов присутствующих на заседании членов комиссии. При равенстве голосов голос председателя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(при его отсутствии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) является решающим. Проекты, получившие одобрение более половины членов комиссии, допускаются до участия во втором этапе отбора.</w:t>
      </w:r>
    </w:p>
    <w:p w:rsidR="00901BA1" w:rsidRDefault="00901BA1" w:rsidP="00901BA1">
      <w:pPr>
        <w:pStyle w:val="ConsPlusNormal"/>
        <w:suppressAutoHyphens w:val="0"/>
        <w:spacing w:line="360" w:lineRule="auto"/>
        <w:ind w:right="-2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5.2.2. На втором этапе отбора по каждому проекту 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 критериями оценки, указанными в таблице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(далее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критерии оценки), комиссией выставляются баллы. Общее количество баллов определяется путем суммирования баллов по каждому критерию оценки (далее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сумма баллов второго этапа).</w:t>
      </w:r>
    </w:p>
    <w:p w:rsidR="00901BA1" w:rsidRDefault="00901BA1" w:rsidP="00901BA1">
      <w:pPr>
        <w:widowControl/>
        <w:suppressAutoHyphens w:val="0"/>
        <w:ind w:right="-2"/>
        <w:jc w:val="right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Таблица</w:t>
      </w:r>
    </w:p>
    <w:p w:rsidR="00901BA1" w:rsidRDefault="00901BA1" w:rsidP="00901BA1">
      <w:pPr>
        <w:widowControl/>
        <w:suppressAutoHyphens w:val="0"/>
        <w:ind w:right="140"/>
        <w:jc w:val="right"/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</w:pPr>
    </w:p>
    <w:tbl>
      <w:tblPr>
        <w:tblW w:w="0" w:type="auto"/>
        <w:tblInd w:w="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972"/>
        <w:gridCol w:w="1897"/>
      </w:tblGrid>
      <w:tr w:rsidR="00901BA1" w:rsidRPr="005A4A50" w:rsidTr="00BD659A">
        <w:trPr>
          <w:tblHeader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r w:rsidRPr="005A4A5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gramEnd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/п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Наименование критерия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баллов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 окупаемости проекта: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 года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 лет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лет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5 лет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более 5 лет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Процент </w:t>
            </w:r>
            <w:proofErr w:type="spellStart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софинансирования</w:t>
            </w:r>
            <w:proofErr w:type="spellEnd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счет сре</w:t>
            </w:r>
            <w:proofErr w:type="gramStart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дств пр</w:t>
            </w:r>
            <w:proofErr w:type="gramEnd"/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етендента: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10% (включительно) 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минимальный базовый уровень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20%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 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35%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 –</w:t>
            </w: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50%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более 50%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 энергетического паспорта претендента, составленного по результатам энергетического обследования, с приложением перечня типовых мероприятий по энергосбережению и повышению энергетической эффективности указанного паспорта, в котором должны быть изложены годовая экономия энергетических ресурсов в натуральном и стоимостном выражении, затраты, средний срок окупаемости, согласованный срок внедрения заявленного на отбор энергосберегающего проекта: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энергетический паспорт имеется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энергетического паспорта не имеется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Вид обеспечения: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01BA1" w:rsidRPr="005A4A50" w:rsidTr="00BD659A"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банковская гарантия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муниципальная гарантия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залог недвижимого имущества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залог движимого имущества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поручительство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01BA1" w:rsidRPr="005A4A50" w:rsidTr="00BD659A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Наличие проектной документации в случае реконструкции или замены оборудования на опасных производственных объектах, объектах повышенной опасности, системах жизнеобеспечения, влияющих на безопасность людей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01BA1" w:rsidRPr="005A4A50" w:rsidTr="00BD659A">
        <w:tc>
          <w:tcPr>
            <w:tcW w:w="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6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both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Отсутствие проектной документации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1BA1" w:rsidRPr="005A4A50" w:rsidRDefault="00901BA1" w:rsidP="00BD659A">
            <w:pPr>
              <w:pStyle w:val="ConsPlusNormal"/>
              <w:suppressAutoHyphens w:val="0"/>
              <w:jc w:val="center"/>
              <w:rPr>
                <w:color w:val="auto"/>
              </w:rPr>
            </w:pPr>
            <w:r w:rsidRPr="005A4A5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</w:tr>
    </w:tbl>
    <w:p w:rsidR="00901BA1" w:rsidRPr="005A4A50" w:rsidRDefault="00901BA1" w:rsidP="00901BA1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8" w:name="Par257"/>
      <w:bookmarkEnd w:id="18"/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5.2.3. Проекты ранжируются в порядке убывания итоговой суммы баллов.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При равенстве итоговой суммы баллов у нескольких проектов позиция каждого из проектов в рейтинге определяется путем дополнительного голосования по каждому из указанных проектов с учетом социальной значимости проекта. Решение принимается простым большинством голосов членов комиссии, присутствующих на отборе. При равенстве голосов голос председателя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комиссии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(при его отсутствии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заместителя председателя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) является решающим. Победителями отбора признаются участники отбора, проекты которых заняли в таблице ранжирования наиболее высокие позиции. Количество победителей отбора ограничивается суммой внебюджетных средств, установленных для текущего отбора. Решение комиссии в течение 10 рабочих дней со дня проведения заседания комиссии оформляется протоколом с приложением таблицы ранжирования.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По результатам отбора секретарь комиссии оформляет протокол,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котором указываются победители отбора, размер выделяемых внебюджетных средств, условия предоставления займа по каждому победителю отбора. Протокол утверждается председателем комиссии (при его отсутствии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заместителем председателя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комиссии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) и подписывается секретарем комиссии.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Оператор уведомляет </w:t>
      </w:r>
      <w:r w:rsidR="00690CD8">
        <w:rPr>
          <w:rFonts w:ascii="Times New Roman" w:hAnsi="Times New Roman" w:cs="Times New Roman"/>
          <w:color w:val="auto"/>
          <w:sz w:val="28"/>
          <w:szCs w:val="28"/>
        </w:rPr>
        <w:t>участников отбора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 принятом комиссией решении в течение 3 рабочих дней со дня утверждения протокола, указанного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пункте 5.</w:t>
      </w:r>
      <w:r w:rsidR="00690CD8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посредством факсимильной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или электронной связи.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19" w:name="Par263"/>
      <w:bookmarkEnd w:id="19"/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6. Порядок финансирования проектов по энергосбережению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tabs>
          <w:tab w:val="left" w:pos="1276"/>
        </w:tabs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6.1. Предоставление внебюджетных средств на энергосбережение оформляется договором целевого займа между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и победителем отбора. Финансирование проектов по энергосбережению осуществляется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на следующих условиях возврата:</w:t>
      </w:r>
    </w:p>
    <w:p w:rsidR="00901BA1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6.1.1. В виде беспроцентного целевого займа – в случае предоставления займа на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срок до двух лет включительно.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Победитель отбора вправе досрочно вернуть сумму займа полностью или частично, о чем указывается в договоре целевого займа.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6.1.2. В виде целевого займа с уплатой процентов за пользование суммой займа – в случае предоставления победителю отбора, являющемуся </w:t>
      </w:r>
      <w:proofErr w:type="spell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ресурсоснабжающей</w:t>
      </w:r>
      <w:proofErr w:type="spell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организацией, займа на срок более двух лет,                                но не превышающий четырех лет включительно. 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Проценты за пользование суммой займа в первые два года пользования займом не начисляются и не выплачиваются.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Начиная с третьего года пользования суммой займа, победитель отбора уплачивает проценты за пользование суммой займа в размере двух третей ключевой ставки Банка России, установленной на день принятия комиссией решения об определении победителей отбора, в год.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Победитель отбора вправе досрочно вернуть сумму займа полностью или частично, о чем указывается в договоре целевого займа.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bookmarkStart w:id="20" w:name="Par268"/>
      <w:bookmarkEnd w:id="20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6.2. Победитель отбора в течение 2 месяцев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с даты проведения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отбора представляет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ператору необходимые документы для заключения договора целевого займа и иных гражданско-правовых договоров, обеспечивающих надлежащее исполнение договора целевого займа (залог, поручительство, муниципальная гарантия, банковская гарантия, другие способы обеспечения исполнения обязательств, предусмотренные действующим законодательством Российской Федерации и (или) договором целевого займа). Перечень необходимых документов определяется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ператором в зависимости от вида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 условий обеспечения и направляется победителю отбора в течение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3 рабочих дней со дня утверждения протокола, указанного в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подпункте 5.2.3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Порядка, посредством факсимильной или электронной связи.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6.3. В случае предоставления победителем отбора в качестве обеспечения исполнения обязательств по договору целевого займа залога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стоимость предмета залога должна превышать сумму выделяемого займа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не менее чем в 1,5 раза. Залогодателем может быть как сам победитель отбора, так и третье лицо. Предмет залога должен быть застрахован от всех рисков утраты и повреждения на весь срок действия договора целевого займа.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6.4. Оператор заключает договор целевого займа и договоры, обеспечивающие исполнение обязательств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заемщиком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в течение 10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рабочих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дней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с даты представления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победителем отбора документов в соответствии с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пунктом 6.2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6.5. Право на получение целевого займа аннулируется и переходит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к претенденту, следующему за выбывшим участником в таблице ранжирования, приложенной к протоколу отбора, в случаях непредставления победителем отбора документов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указанны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х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пункте 6.2 настоящего Порядка</w:t>
      </w:r>
      <w:r>
        <w:rPr>
          <w:rFonts w:ascii="Times New Roman" w:hAnsi="Times New Roman" w:cs="Times New Roman"/>
          <w:color w:val="auto"/>
          <w:sz w:val="28"/>
          <w:szCs w:val="28"/>
        </w:rPr>
        <w:t>, в установлен</w:t>
      </w:r>
      <w:r w:rsidR="00690CD8">
        <w:rPr>
          <w:rFonts w:ascii="Times New Roman" w:hAnsi="Times New Roman" w:cs="Times New Roman"/>
          <w:color w:val="auto"/>
          <w:sz w:val="28"/>
          <w:szCs w:val="28"/>
        </w:rPr>
        <w:t>ный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90CD8">
        <w:rPr>
          <w:rFonts w:ascii="Times New Roman" w:hAnsi="Times New Roman" w:cs="Times New Roman"/>
          <w:color w:val="auto"/>
          <w:sz w:val="28"/>
          <w:szCs w:val="28"/>
        </w:rPr>
        <w:t xml:space="preserve">пунктом 6.4 </w:t>
      </w:r>
      <w:r w:rsidR="005F2590">
        <w:rPr>
          <w:rFonts w:ascii="Times New Roman" w:hAnsi="Times New Roman" w:cs="Times New Roman"/>
          <w:color w:val="auto"/>
          <w:sz w:val="28"/>
          <w:szCs w:val="28"/>
        </w:rPr>
        <w:t xml:space="preserve">настоящего Порядка </w:t>
      </w:r>
      <w:r>
        <w:rPr>
          <w:rFonts w:ascii="Times New Roman" w:hAnsi="Times New Roman" w:cs="Times New Roman"/>
          <w:color w:val="auto"/>
          <w:sz w:val="28"/>
          <w:szCs w:val="28"/>
        </w:rPr>
        <w:t>срок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6.6. Договор целевого займа на предоставление внебюджетных средств заключается в соответствии с гражданским законодательством Российской Федерации и в нем должны быть прописаны: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предмет договора целевого займа;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сумма целевого займа;</w:t>
      </w:r>
    </w:p>
    <w:p w:rsidR="00901BA1" w:rsidRPr="005A4A50" w:rsidRDefault="00901BA1" w:rsidP="00901BA1">
      <w:pPr>
        <w:tabs>
          <w:tab w:val="left" w:pos="1276"/>
        </w:tabs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размер процентов за пользование целевым займом и порядок                           их выплаты (в случае заключения договора целевого займа в соответствии                   с подпунктом 6.1.2 пункта 6.1 настоящего Порядка);</w:t>
      </w:r>
    </w:p>
    <w:p w:rsidR="00901BA1" w:rsidRPr="005A4A50" w:rsidRDefault="00901BA1" w:rsidP="00901BA1">
      <w:pPr>
        <w:tabs>
          <w:tab w:val="left" w:pos="1276"/>
        </w:tabs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право победителя отбора досрочно вернуть сумму займа полностью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или частично;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условия обеспечения возврата целевого займа (поручительство, залог, банковская гарантия, муниципальная гарантия и другие способы обеспечения исполнения обязательств, предусмотренные действующим законодательством Российской Федерации);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срок предоставления целевого займа;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срок и график возврата целевого займа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(далее – график)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ответственность за использование средств не по целевому назначению и нарушение сроков их возврата.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6.7. В целях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контроля за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целевым использованием внебюджетных средств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ператор перечисляет сумму целевого займа в счет оплаты оборудования, работ и услуг для реализации мероприятий, заявленных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в бизнес-плане победителя отбора (далее</w:t>
      </w:r>
      <w:r w:rsidRPr="00970DF0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аемщик), на основании представленных им платежных документов (счета на оплату, счет</w:t>
      </w:r>
      <w:r>
        <w:rPr>
          <w:rFonts w:ascii="Times New Roman" w:hAnsi="Times New Roman" w:cs="Times New Roman"/>
          <w:color w:val="auto"/>
          <w:sz w:val="28"/>
          <w:szCs w:val="28"/>
        </w:rPr>
        <w:t>а-фактуры, акта выполненных работ и других подтверждающих документов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6.8. Целевой </w:t>
      </w:r>
      <w:proofErr w:type="spell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займ</w:t>
      </w:r>
      <w:proofErr w:type="spell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предоставляется на срок окупаемости проекта </w:t>
      </w:r>
      <w:proofErr w:type="gram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 даты окончания</w:t>
      </w:r>
      <w:proofErr w:type="gram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выполнения энергосберегающих мероприятий, но не более чем                  на 2 года с момента его получения, в зависимости от того, какое из двух указанных событий наступит раньше. </w:t>
      </w:r>
      <w:proofErr w:type="spell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Ресурсоснабжающим</w:t>
      </w:r>
      <w:proofErr w:type="spell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организациям целевой </w:t>
      </w:r>
      <w:proofErr w:type="spell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займ</w:t>
      </w:r>
      <w:proofErr w:type="spell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предоставляется на срок окупаемости проекта </w:t>
      </w:r>
      <w:proofErr w:type="gram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 даты окончания</w:t>
      </w:r>
      <w:proofErr w:type="gram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выполнения энергосберегающих мероприятий, но не более чем на 4 года </w:t>
      </w: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               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 момента его получения, в зависимости от того, какое из двух указанных событий наступит раньше.</w:t>
      </w:r>
    </w:p>
    <w:p w:rsidR="00901BA1" w:rsidRPr="005A4A50" w:rsidRDefault="00901BA1" w:rsidP="00901BA1">
      <w:pPr>
        <w:pStyle w:val="17"/>
        <w:tabs>
          <w:tab w:val="left" w:pos="1276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Срок окупаемости проекта определяется как отношение суммы предоставленного целевого займа к сумме планируемой годовой экономии сре</w:t>
      </w:r>
      <w:proofErr w:type="gramStart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дств</w:t>
      </w:r>
      <w:r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 xml:space="preserve"> </w:t>
      </w:r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в р</w:t>
      </w:r>
      <w:proofErr w:type="gramEnd"/>
      <w:r w:rsidRPr="005A4A50">
        <w:rPr>
          <w:rFonts w:ascii="Times New Roman" w:eastAsia="Courier New" w:hAnsi="Times New Roman" w:cs="Times New Roman"/>
          <w:color w:val="auto"/>
          <w:sz w:val="28"/>
          <w:szCs w:val="28"/>
          <w:lang w:bidi="hi-IN"/>
        </w:rPr>
        <w:t>езультате реализации проекта по энергосбережению.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6.9. Возврат целевого займа ос</w:t>
      </w:r>
      <w:r>
        <w:rPr>
          <w:rFonts w:ascii="Times New Roman" w:hAnsi="Times New Roman" w:cs="Times New Roman"/>
          <w:color w:val="auto"/>
          <w:sz w:val="28"/>
          <w:szCs w:val="28"/>
        </w:rPr>
        <w:t>уществляется на расчетный счет 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 в соответствии с согласованным в договоре целевого займа (дополнительном соглашении) графиком возврата целевого займа (части займа).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6.10.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целевым использованием и своевременным возвр</w:t>
      </w:r>
      <w:r>
        <w:rPr>
          <w:rFonts w:ascii="Times New Roman" w:hAnsi="Times New Roman" w:cs="Times New Roman"/>
          <w:color w:val="auto"/>
          <w:sz w:val="28"/>
          <w:szCs w:val="28"/>
        </w:rPr>
        <w:t>атом 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аемщиками средств, выделенных на реализацию проектов, осуществляет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 и ежеквартально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до 20 числа месяца, следующего за отчетным кварталом, направляет в </w:t>
      </w:r>
      <w:r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инистерство информацию в соответствии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пунктом 3.5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6.11. Оператор вправе требовать досрочного возврата суммы целевого займа при невыполнении заемщиком предусмотренных договором целевого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займа обязанностей по обеспечению возврата займа, а также при утрате обеспечения или ухудшении его условий по обстоятельствам, за которые оператор не отвечает, а также при нарушении заемщиком срока, установленного графиком для возврата очередной части займа.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аемщик может обратиться с заявлением в адрес </w:t>
      </w: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ператора о возможности перевода долга на третье лицо (далее</w:t>
      </w:r>
      <w:r w:rsidRPr="00D15733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заявление о замене).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540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6.12. Перевод д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олга осуществляется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 решению оператора по согласованию с м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инистерством на о</w:t>
      </w:r>
      <w:r>
        <w:rPr>
          <w:rFonts w:ascii="Times New Roman" w:hAnsi="Times New Roman" w:cs="Times New Roman"/>
          <w:color w:val="auto"/>
          <w:sz w:val="28"/>
          <w:szCs w:val="28"/>
        </w:rPr>
        <w:t>сновании письменного заявления 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аемщика о замене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. При этом третье лицо должно отвечать требованиям, предусмотренным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пунктами 4.3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4.4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5A4A50">
        <w:rPr>
          <w:rStyle w:val="ListLabel2"/>
          <w:rFonts w:ascii="Times New Roman" w:hAnsi="Times New Roman" w:cs="Times New Roman"/>
          <w:color w:val="auto"/>
          <w:sz w:val="28"/>
          <w:szCs w:val="28"/>
        </w:rPr>
        <w:t>4.5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настоящего Порядка. Третье лицо должно представить </w:t>
      </w:r>
      <w:r>
        <w:rPr>
          <w:rFonts w:ascii="Times New Roman" w:hAnsi="Times New Roman" w:cs="Times New Roman"/>
          <w:color w:val="auto"/>
          <w:sz w:val="28"/>
          <w:szCs w:val="28"/>
        </w:rPr>
        <w:t>обеспечение возврата целевого займа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требованием настоящего Порядка.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ConsPlusNormal"/>
        <w:suppressAutoHyphens w:val="0"/>
        <w:ind w:firstLine="709"/>
        <w:jc w:val="both"/>
        <w:rPr>
          <w:color w:val="auto"/>
        </w:rPr>
      </w:pPr>
      <w:bookmarkStart w:id="21" w:name="Par286"/>
      <w:bookmarkEnd w:id="21"/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7. Ответственность за нарушение условий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b/>
          <w:color w:val="auto"/>
          <w:sz w:val="28"/>
          <w:szCs w:val="28"/>
        </w:rPr>
        <w:t>договора целевого займа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901BA1" w:rsidRPr="005A4A50" w:rsidRDefault="00901BA1" w:rsidP="00901BA1">
      <w:pPr>
        <w:pStyle w:val="17"/>
        <w:widowControl/>
        <w:tabs>
          <w:tab w:val="left" w:pos="1140"/>
        </w:tabs>
        <w:suppressAutoHyphens w:val="0"/>
        <w:spacing w:line="360" w:lineRule="auto"/>
        <w:ind w:left="0"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7.1. </w:t>
      </w:r>
      <w:proofErr w:type="gramStart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При несвоевременном внесении платежа, установленного                         в графике возврата целевого займа, а также процентов за пользование суммой </w:t>
      </w:r>
      <w:r>
        <w:rPr>
          <w:rFonts w:ascii="Times New Roman" w:hAnsi="Times New Roman" w:cs="Times New Roman"/>
          <w:color w:val="auto"/>
          <w:sz w:val="28"/>
          <w:szCs w:val="28"/>
        </w:rPr>
        <w:t>целевого займа 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аемщик уплачивает пени в размере двукратной ключевой ставки Банка России, установленной на дату возникновения просроченной задолженности, с суммы просроченного платежа (просроченных процентов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за пользование суммой займа), за период просрочки с даты, следующей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за датой наступления исполнения обязательства, установленной договором целевого займа, по</w:t>
      </w:r>
      <w:proofErr w:type="gramEnd"/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 дату фактического погашения просроченной задолженности (включительно).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7.2. Направление средств займа на оплату расходов, не связанных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с реализацией мероприятий, указанных в заявке, является использованием средств займа не по целевому назначению.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В случаях выявления использования средств з</w:t>
      </w:r>
      <w:r>
        <w:rPr>
          <w:rFonts w:ascii="Times New Roman" w:hAnsi="Times New Roman" w:cs="Times New Roman"/>
          <w:color w:val="auto"/>
          <w:sz w:val="28"/>
          <w:szCs w:val="28"/>
        </w:rPr>
        <w:t>айма не по целевому назначению оператор принимает в отношении 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аемщика, допустившего нарушение условий договора целевого займа, меры, предусмотренные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lastRenderedPageBreak/>
        <w:t>действующим гражданским законодательством Российской Федерации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договором целевого займа.</w:t>
      </w:r>
    </w:p>
    <w:p w:rsidR="00901BA1" w:rsidRPr="005A4A50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7.3. За несвоевременное представление промежуточных и итоговых отчетов об использовании внебюджетных средств, предусмотренных договором целевого займа,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 xml:space="preserve">аемщик либо третье лицо, заменившее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аемщика в обязательстве, несет ответственность в виде штрафа, размер которого определяется договором целевого займа.</w:t>
      </w:r>
    </w:p>
    <w:p w:rsidR="00901BA1" w:rsidRDefault="00901BA1" w:rsidP="00901BA1">
      <w:pPr>
        <w:pStyle w:val="ConsPlusNormal"/>
        <w:suppressAutoHyphens w:val="0"/>
        <w:spacing w:line="36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A4A50">
        <w:rPr>
          <w:rFonts w:ascii="Times New Roman" w:hAnsi="Times New Roman" w:cs="Times New Roman"/>
          <w:color w:val="auto"/>
          <w:sz w:val="28"/>
          <w:szCs w:val="28"/>
        </w:rPr>
        <w:t>7.4. Порядок уплаты неустойки (штрафа, пени) и суммы основного долга определя</w:t>
      </w:r>
      <w:r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5A4A50">
        <w:rPr>
          <w:rFonts w:ascii="Times New Roman" w:hAnsi="Times New Roman" w:cs="Times New Roman"/>
          <w:color w:val="auto"/>
          <w:sz w:val="28"/>
          <w:szCs w:val="28"/>
        </w:rPr>
        <w:t>тся в договоре целевого займа.</w:t>
      </w:r>
    </w:p>
    <w:p w:rsidR="00901BA1" w:rsidRDefault="00901BA1" w:rsidP="00901BA1">
      <w:pPr>
        <w:autoSpaceDE w:val="0"/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01BA1" w:rsidRDefault="00901BA1" w:rsidP="00901BA1">
      <w:pPr>
        <w:autoSpaceDE w:val="0"/>
        <w:spacing w:after="480"/>
        <w:jc w:val="center"/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901BA1" w:rsidRPr="005C24CB" w:rsidRDefault="00901BA1" w:rsidP="00901BA1">
      <w:pPr>
        <w:pStyle w:val="ConsPlusNormal"/>
        <w:suppressAutoHyphens w:val="0"/>
        <w:spacing w:line="360" w:lineRule="auto"/>
        <w:ind w:firstLine="540"/>
        <w:jc w:val="both"/>
        <w:rPr>
          <w:color w:val="auto"/>
          <w:lang w:val="en-US"/>
        </w:rPr>
      </w:pPr>
    </w:p>
    <w:p w:rsidR="00ED1105" w:rsidRPr="005C24CB" w:rsidRDefault="00ED1105" w:rsidP="00901BA1">
      <w:pPr>
        <w:pStyle w:val="ConsPlusNormal"/>
        <w:suppressAutoHyphens w:val="0"/>
        <w:spacing w:line="360" w:lineRule="auto"/>
        <w:ind w:firstLine="709"/>
        <w:jc w:val="both"/>
        <w:rPr>
          <w:color w:val="auto"/>
          <w:lang w:val="en-US"/>
        </w:rPr>
      </w:pPr>
    </w:p>
    <w:sectPr w:rsidR="00ED1105" w:rsidRPr="005C24CB" w:rsidSect="00D3042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1" w:bottom="1134" w:left="1701" w:header="720" w:footer="720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619" w:rsidRDefault="00334619">
      <w:r>
        <w:separator/>
      </w:r>
    </w:p>
  </w:endnote>
  <w:endnote w:type="continuationSeparator" w:id="0">
    <w:p w:rsidR="00334619" w:rsidRDefault="003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619" w:rsidRDefault="00334619">
      <w:r>
        <w:separator/>
      </w:r>
    </w:p>
  </w:footnote>
  <w:footnote w:type="continuationSeparator" w:id="0">
    <w:p w:rsidR="00334619" w:rsidRDefault="003346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63A56">
      <w:rPr>
        <w:noProof/>
      </w:rPr>
      <w:t>110</w:t>
    </w:r>
    <w:r>
      <w:rPr>
        <w:noProof/>
      </w:rPr>
      <w:fldChar w:fldCharType="end"/>
    </w:r>
  </w:p>
  <w:p w:rsidR="00CF23D0" w:rsidRDefault="00CF23D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>
    <w:pPr>
      <w:pStyle w:val="ad"/>
      <w:jc w:val="center"/>
    </w:pPr>
    <w:r>
      <w:fldChar w:fldCharType="begin"/>
    </w:r>
    <w:r>
      <w:instrText xml:space="preserve"> PAGE </w:instrText>
    </w:r>
    <w:r>
      <w:fldChar w:fldCharType="separate"/>
    </w:r>
    <w:r w:rsidR="00863A56">
      <w:rPr>
        <w:noProof/>
      </w:rPr>
      <w:t>132</w:t>
    </w:r>
    <w:r>
      <w:rPr>
        <w:noProof/>
      </w:rPr>
      <w:fldChar w:fldCharType="end"/>
    </w:r>
  </w:p>
  <w:p w:rsidR="00CF23D0" w:rsidRDefault="00CF23D0">
    <w:pPr>
      <w:pStyle w:val="a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D0" w:rsidRDefault="00CF23D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5428A1"/>
    <w:multiLevelType w:val="hybridMultilevel"/>
    <w:tmpl w:val="B972BCC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C7E2E"/>
    <w:rsid w:val="00060278"/>
    <w:rsid w:val="00096951"/>
    <w:rsid w:val="000B35BA"/>
    <w:rsid w:val="000D41DB"/>
    <w:rsid w:val="00104AD0"/>
    <w:rsid w:val="00137C71"/>
    <w:rsid w:val="00154B1C"/>
    <w:rsid w:val="00193A85"/>
    <w:rsid w:val="001D26CF"/>
    <w:rsid w:val="001D6A0E"/>
    <w:rsid w:val="001D79C7"/>
    <w:rsid w:val="001F083C"/>
    <w:rsid w:val="001F1EC2"/>
    <w:rsid w:val="00264C1E"/>
    <w:rsid w:val="00293F23"/>
    <w:rsid w:val="002B1ABE"/>
    <w:rsid w:val="002D2548"/>
    <w:rsid w:val="002E023A"/>
    <w:rsid w:val="00307B53"/>
    <w:rsid w:val="00313B36"/>
    <w:rsid w:val="00323359"/>
    <w:rsid w:val="00334619"/>
    <w:rsid w:val="00340ECA"/>
    <w:rsid w:val="00351480"/>
    <w:rsid w:val="00372FAF"/>
    <w:rsid w:val="003E7300"/>
    <w:rsid w:val="004114B6"/>
    <w:rsid w:val="004175E1"/>
    <w:rsid w:val="004179A6"/>
    <w:rsid w:val="00435EB2"/>
    <w:rsid w:val="00463D7E"/>
    <w:rsid w:val="00474883"/>
    <w:rsid w:val="004A6C97"/>
    <w:rsid w:val="004A7BCF"/>
    <w:rsid w:val="004C2F07"/>
    <w:rsid w:val="004D5F47"/>
    <w:rsid w:val="004E6A69"/>
    <w:rsid w:val="004F1554"/>
    <w:rsid w:val="004F375F"/>
    <w:rsid w:val="0050349D"/>
    <w:rsid w:val="00507BF9"/>
    <w:rsid w:val="00507D5F"/>
    <w:rsid w:val="005254A9"/>
    <w:rsid w:val="00526047"/>
    <w:rsid w:val="00567992"/>
    <w:rsid w:val="005751E3"/>
    <w:rsid w:val="005914CD"/>
    <w:rsid w:val="005A4A50"/>
    <w:rsid w:val="005C24CB"/>
    <w:rsid w:val="005C7905"/>
    <w:rsid w:val="005D5D85"/>
    <w:rsid w:val="005F195E"/>
    <w:rsid w:val="005F2590"/>
    <w:rsid w:val="00612AAB"/>
    <w:rsid w:val="00615A5C"/>
    <w:rsid w:val="00624770"/>
    <w:rsid w:val="006269B8"/>
    <w:rsid w:val="006479D3"/>
    <w:rsid w:val="006857EB"/>
    <w:rsid w:val="00690CD8"/>
    <w:rsid w:val="006E347D"/>
    <w:rsid w:val="006F2281"/>
    <w:rsid w:val="00716CF4"/>
    <w:rsid w:val="00747EDA"/>
    <w:rsid w:val="00757F29"/>
    <w:rsid w:val="00775E20"/>
    <w:rsid w:val="00780190"/>
    <w:rsid w:val="007D2E41"/>
    <w:rsid w:val="00824DC7"/>
    <w:rsid w:val="008277B7"/>
    <w:rsid w:val="008345F0"/>
    <w:rsid w:val="00863A56"/>
    <w:rsid w:val="008653E5"/>
    <w:rsid w:val="008B1A9E"/>
    <w:rsid w:val="008E0FFA"/>
    <w:rsid w:val="00900412"/>
    <w:rsid w:val="00901BA1"/>
    <w:rsid w:val="0091116B"/>
    <w:rsid w:val="00920A52"/>
    <w:rsid w:val="0092139F"/>
    <w:rsid w:val="00942A4E"/>
    <w:rsid w:val="00956505"/>
    <w:rsid w:val="00970DF0"/>
    <w:rsid w:val="009A61DD"/>
    <w:rsid w:val="009B1F9A"/>
    <w:rsid w:val="009D2D9E"/>
    <w:rsid w:val="009E1959"/>
    <w:rsid w:val="009E6C87"/>
    <w:rsid w:val="00A43577"/>
    <w:rsid w:val="00A757EF"/>
    <w:rsid w:val="00A911F1"/>
    <w:rsid w:val="00A96FEF"/>
    <w:rsid w:val="00AE38A1"/>
    <w:rsid w:val="00AF03BD"/>
    <w:rsid w:val="00AF6F9E"/>
    <w:rsid w:val="00B154AF"/>
    <w:rsid w:val="00B400CB"/>
    <w:rsid w:val="00B5171F"/>
    <w:rsid w:val="00B55D80"/>
    <w:rsid w:val="00B73016"/>
    <w:rsid w:val="00BA6838"/>
    <w:rsid w:val="00BB5C12"/>
    <w:rsid w:val="00BD659A"/>
    <w:rsid w:val="00BF51A5"/>
    <w:rsid w:val="00C06BB9"/>
    <w:rsid w:val="00C31930"/>
    <w:rsid w:val="00C83455"/>
    <w:rsid w:val="00C85A2E"/>
    <w:rsid w:val="00CA0199"/>
    <w:rsid w:val="00CD3F28"/>
    <w:rsid w:val="00CE387B"/>
    <w:rsid w:val="00CF23D0"/>
    <w:rsid w:val="00D10B11"/>
    <w:rsid w:val="00D14943"/>
    <w:rsid w:val="00D14FFE"/>
    <w:rsid w:val="00D15733"/>
    <w:rsid w:val="00D3042C"/>
    <w:rsid w:val="00D36F86"/>
    <w:rsid w:val="00D36F8D"/>
    <w:rsid w:val="00D51D9F"/>
    <w:rsid w:val="00D54C37"/>
    <w:rsid w:val="00D54F43"/>
    <w:rsid w:val="00D74A2B"/>
    <w:rsid w:val="00D866D5"/>
    <w:rsid w:val="00DB0A74"/>
    <w:rsid w:val="00E162C2"/>
    <w:rsid w:val="00E224A0"/>
    <w:rsid w:val="00E35ADF"/>
    <w:rsid w:val="00E4078D"/>
    <w:rsid w:val="00E55512"/>
    <w:rsid w:val="00E616F4"/>
    <w:rsid w:val="00ED1105"/>
    <w:rsid w:val="00EE0902"/>
    <w:rsid w:val="00EF422E"/>
    <w:rsid w:val="00F24D49"/>
    <w:rsid w:val="00F72E9C"/>
    <w:rsid w:val="00F9754F"/>
    <w:rsid w:val="00FC7E2E"/>
    <w:rsid w:val="00FD3AB6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2C"/>
    <w:pPr>
      <w:widowControl w:val="0"/>
      <w:suppressAutoHyphens/>
    </w:pPr>
    <w:rPr>
      <w:rFonts w:ascii="Liberation Serif" w:eastAsia="Arial" w:hAnsi="Liberation Serif" w:cs="Liberation Serif"/>
      <w:color w:val="000000"/>
      <w:kern w:val="2"/>
      <w:sz w:val="24"/>
      <w:szCs w:val="24"/>
      <w:lang w:eastAsia="zh-CN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D3042C"/>
  </w:style>
  <w:style w:type="character" w:customStyle="1" w:styleId="3">
    <w:name w:val="Основной шрифт абзаца3"/>
    <w:rsid w:val="00D3042C"/>
  </w:style>
  <w:style w:type="character" w:customStyle="1" w:styleId="WW8Num1z0">
    <w:name w:val="WW8Num1z0"/>
    <w:rsid w:val="00D3042C"/>
    <w:rPr>
      <w:rFonts w:ascii="Times New Roman" w:hAnsi="Times New Roman" w:cs="Times New Roman"/>
      <w:sz w:val="28"/>
      <w:szCs w:val="28"/>
    </w:rPr>
  </w:style>
  <w:style w:type="character" w:customStyle="1" w:styleId="WW8Num1z1">
    <w:name w:val="WW8Num1z1"/>
    <w:rsid w:val="00D3042C"/>
  </w:style>
  <w:style w:type="character" w:customStyle="1" w:styleId="WW8Num1z2">
    <w:name w:val="WW8Num1z2"/>
    <w:rsid w:val="00D3042C"/>
  </w:style>
  <w:style w:type="character" w:customStyle="1" w:styleId="WW8Num1z3">
    <w:name w:val="WW8Num1z3"/>
    <w:rsid w:val="00D3042C"/>
  </w:style>
  <w:style w:type="character" w:customStyle="1" w:styleId="WW8Num1z4">
    <w:name w:val="WW8Num1z4"/>
    <w:rsid w:val="00D3042C"/>
  </w:style>
  <w:style w:type="character" w:customStyle="1" w:styleId="WW8Num1z5">
    <w:name w:val="WW8Num1z5"/>
    <w:rsid w:val="00D3042C"/>
  </w:style>
  <w:style w:type="character" w:customStyle="1" w:styleId="WW8Num1z6">
    <w:name w:val="WW8Num1z6"/>
    <w:rsid w:val="00D3042C"/>
  </w:style>
  <w:style w:type="character" w:customStyle="1" w:styleId="WW8Num1z7">
    <w:name w:val="WW8Num1z7"/>
    <w:rsid w:val="00D3042C"/>
  </w:style>
  <w:style w:type="character" w:customStyle="1" w:styleId="WW8Num1z8">
    <w:name w:val="WW8Num1z8"/>
    <w:rsid w:val="00D3042C"/>
  </w:style>
  <w:style w:type="character" w:customStyle="1" w:styleId="WW8Num2z0">
    <w:name w:val="WW8Num2z0"/>
    <w:rsid w:val="00D3042C"/>
  </w:style>
  <w:style w:type="character" w:customStyle="1" w:styleId="WW8Num2z1">
    <w:name w:val="WW8Num2z1"/>
    <w:rsid w:val="00D3042C"/>
  </w:style>
  <w:style w:type="character" w:customStyle="1" w:styleId="WW8Num2z2">
    <w:name w:val="WW8Num2z2"/>
    <w:rsid w:val="00D3042C"/>
  </w:style>
  <w:style w:type="character" w:customStyle="1" w:styleId="WW8Num2z3">
    <w:name w:val="WW8Num2z3"/>
    <w:rsid w:val="00D3042C"/>
  </w:style>
  <w:style w:type="character" w:customStyle="1" w:styleId="WW8Num2z4">
    <w:name w:val="WW8Num2z4"/>
    <w:rsid w:val="00D3042C"/>
  </w:style>
  <w:style w:type="character" w:customStyle="1" w:styleId="WW8Num2z5">
    <w:name w:val="WW8Num2z5"/>
    <w:rsid w:val="00D3042C"/>
  </w:style>
  <w:style w:type="character" w:customStyle="1" w:styleId="WW8Num2z6">
    <w:name w:val="WW8Num2z6"/>
    <w:rsid w:val="00D3042C"/>
  </w:style>
  <w:style w:type="character" w:customStyle="1" w:styleId="WW8Num2z7">
    <w:name w:val="WW8Num2z7"/>
    <w:rsid w:val="00D3042C"/>
  </w:style>
  <w:style w:type="character" w:customStyle="1" w:styleId="WW8Num2z8">
    <w:name w:val="WW8Num2z8"/>
    <w:rsid w:val="00D3042C"/>
  </w:style>
  <w:style w:type="character" w:customStyle="1" w:styleId="1">
    <w:name w:val="Основной шрифт абзаца1"/>
    <w:rsid w:val="00D3042C"/>
  </w:style>
  <w:style w:type="character" w:customStyle="1" w:styleId="2">
    <w:name w:val="Основной шрифт абзаца2"/>
    <w:rsid w:val="00D3042C"/>
  </w:style>
  <w:style w:type="character" w:customStyle="1" w:styleId="ListLabel1">
    <w:name w:val="ListLabel 1"/>
    <w:rsid w:val="00D3042C"/>
    <w:rPr>
      <w:rFonts w:ascii="Arial" w:hAnsi="Arial" w:cs="Arial"/>
      <w:b w:val="0"/>
      <w:i w:val="0"/>
      <w:strike w:val="0"/>
      <w:dstrike w:val="0"/>
      <w:color w:val="0000FF"/>
      <w:szCs w:val="16"/>
      <w:u w:val="none"/>
    </w:rPr>
  </w:style>
  <w:style w:type="character" w:styleId="a3">
    <w:name w:val="Hyperlink"/>
    <w:rsid w:val="00D3042C"/>
    <w:rPr>
      <w:color w:val="000080"/>
      <w:u w:val="single"/>
    </w:rPr>
  </w:style>
  <w:style w:type="character" w:customStyle="1" w:styleId="ListLabel2">
    <w:name w:val="ListLabel 2"/>
    <w:rsid w:val="00D3042C"/>
  </w:style>
  <w:style w:type="character" w:customStyle="1" w:styleId="ListLabel3">
    <w:name w:val="ListLabel 3"/>
    <w:rsid w:val="00D3042C"/>
    <w:rPr>
      <w:rFonts w:ascii="Arial" w:hAnsi="Arial" w:cs="Arial"/>
      <w:b w:val="0"/>
      <w:i/>
      <w:strike w:val="0"/>
      <w:dstrike w:val="0"/>
      <w:color w:val="0000FF"/>
      <w:szCs w:val="16"/>
      <w:u w:val="none"/>
    </w:rPr>
  </w:style>
  <w:style w:type="character" w:customStyle="1" w:styleId="ListLabel4">
    <w:name w:val="ListLabel 4"/>
    <w:rsid w:val="00D3042C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highlight w:val="yellow"/>
      <w:u w:val="none"/>
      <w:lang w:val="ru-RU"/>
    </w:rPr>
  </w:style>
  <w:style w:type="character" w:customStyle="1" w:styleId="ListLabel5">
    <w:name w:val="ListLabel 5"/>
    <w:rsid w:val="00D3042C"/>
    <w:rPr>
      <w:rFonts w:ascii="Arial" w:eastAsia="Courier New" w:hAnsi="Arial" w:cs="Arial"/>
      <w:b w:val="0"/>
      <w:bCs w:val="0"/>
      <w:i w:val="0"/>
      <w:iCs w:val="0"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ListLabel6">
    <w:name w:val="ListLabel 6"/>
    <w:rsid w:val="00D3042C"/>
  </w:style>
  <w:style w:type="character" w:customStyle="1" w:styleId="ListLabel7">
    <w:name w:val="ListLabel 7"/>
    <w:rsid w:val="00D3042C"/>
    <w:rPr>
      <w:rFonts w:ascii="Arial" w:eastAsia="Courier New" w:hAnsi="Arial" w:cs="Arial"/>
      <w:b w:val="0"/>
      <w:bCs w:val="0"/>
      <w:i/>
      <w:iCs/>
      <w:strike w:val="0"/>
      <w:dstrike w:val="0"/>
      <w:color w:val="0000FF"/>
      <w:kern w:val="2"/>
      <w:sz w:val="16"/>
      <w:szCs w:val="16"/>
      <w:u w:val="none"/>
      <w:lang w:val="ru-RU"/>
    </w:rPr>
  </w:style>
  <w:style w:type="character" w:customStyle="1" w:styleId="10">
    <w:name w:val="Просмотренная гиперссылка1"/>
    <w:rsid w:val="00D3042C"/>
    <w:rPr>
      <w:color w:val="800000"/>
      <w:u w:val="single"/>
    </w:rPr>
  </w:style>
  <w:style w:type="character" w:customStyle="1" w:styleId="11">
    <w:name w:val="Основной шрифт абзаца1"/>
    <w:rsid w:val="00D3042C"/>
  </w:style>
  <w:style w:type="character" w:customStyle="1" w:styleId="12">
    <w:name w:val="Строгий1"/>
    <w:basedOn w:val="11"/>
    <w:rsid w:val="00D3042C"/>
    <w:rPr>
      <w:b/>
      <w:bCs/>
    </w:rPr>
  </w:style>
  <w:style w:type="character" w:customStyle="1" w:styleId="a4">
    <w:name w:val="Верхний колонтитул Знак"/>
    <w:basedOn w:val="2"/>
    <w:rsid w:val="00D3042C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a5">
    <w:name w:val="Нижний колонтитул Знак"/>
    <w:basedOn w:val="2"/>
    <w:rsid w:val="00D3042C"/>
    <w:rPr>
      <w:rFonts w:ascii="Liberation Serif" w:eastAsia="Arial" w:hAnsi="Liberation Serif" w:cs="Liberation Serif"/>
      <w:color w:val="000000"/>
      <w:kern w:val="2"/>
      <w:sz w:val="24"/>
      <w:szCs w:val="24"/>
      <w:lang w:bidi="ru-RU"/>
    </w:rPr>
  </w:style>
  <w:style w:type="character" w:customStyle="1" w:styleId="ListLabel8">
    <w:name w:val="ListLabel 8"/>
    <w:rsid w:val="00D3042C"/>
    <w:rPr>
      <w:rFonts w:cs="Times New Roman"/>
      <w:sz w:val="28"/>
      <w:szCs w:val="28"/>
    </w:rPr>
  </w:style>
  <w:style w:type="character" w:customStyle="1" w:styleId="ListLabel9">
    <w:name w:val="ListLabel 9"/>
    <w:rsid w:val="00D3042C"/>
    <w:rPr>
      <w:rFonts w:ascii="Times New Roman" w:hAnsi="Times New Roman" w:cs="Times New Roman"/>
      <w:color w:val="0000FF"/>
      <w:sz w:val="24"/>
    </w:rPr>
  </w:style>
  <w:style w:type="character" w:customStyle="1" w:styleId="ListLabel10">
    <w:name w:val="ListLabel 10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1">
    <w:name w:val="ListLabel 11"/>
    <w:rsid w:val="00D3042C"/>
    <w:rPr>
      <w:color w:val="0000FF"/>
      <w:sz w:val="28"/>
      <w:szCs w:val="28"/>
    </w:rPr>
  </w:style>
  <w:style w:type="character" w:customStyle="1" w:styleId="ListLabel12">
    <w:name w:val="ListLabel 12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rsid w:val="00D3042C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14">
    <w:name w:val="ListLabel 14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15">
    <w:name w:val="ListLabel 15"/>
    <w:rsid w:val="00D3042C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16">
    <w:name w:val="ListLabel 16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17">
    <w:name w:val="ListLabel 17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18">
    <w:name w:val="ListLabel 18"/>
    <w:rsid w:val="00D3042C"/>
    <w:rPr>
      <w:rFonts w:cs="Times New Roman"/>
      <w:sz w:val="28"/>
      <w:szCs w:val="28"/>
    </w:rPr>
  </w:style>
  <w:style w:type="character" w:customStyle="1" w:styleId="ListLabel19">
    <w:name w:val="ListLabel 19"/>
    <w:rsid w:val="00D3042C"/>
    <w:rPr>
      <w:rFonts w:ascii="Times New Roman" w:hAnsi="Times New Roman" w:cs="Times New Roman"/>
      <w:color w:val="0000FF"/>
      <w:sz w:val="24"/>
    </w:rPr>
  </w:style>
  <w:style w:type="character" w:customStyle="1" w:styleId="ListLabel20">
    <w:name w:val="ListLabel 20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1">
    <w:name w:val="ListLabel 21"/>
    <w:rsid w:val="00D3042C"/>
    <w:rPr>
      <w:color w:val="0000FF"/>
      <w:sz w:val="28"/>
      <w:szCs w:val="28"/>
    </w:rPr>
  </w:style>
  <w:style w:type="character" w:customStyle="1" w:styleId="ListLabel22">
    <w:name w:val="ListLabel 22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rsid w:val="00D3042C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24">
    <w:name w:val="ListLabel 24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25">
    <w:name w:val="ListLabel 25"/>
    <w:rsid w:val="00D3042C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26">
    <w:name w:val="ListLabel 26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27">
    <w:name w:val="ListLabel 27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28">
    <w:name w:val="ListLabel 28"/>
    <w:rsid w:val="00D3042C"/>
    <w:rPr>
      <w:rFonts w:cs="Times New Roman"/>
      <w:sz w:val="28"/>
      <w:szCs w:val="28"/>
    </w:rPr>
  </w:style>
  <w:style w:type="character" w:customStyle="1" w:styleId="ListLabel29">
    <w:name w:val="ListLabel 29"/>
    <w:rsid w:val="00D3042C"/>
    <w:rPr>
      <w:rFonts w:ascii="Times New Roman" w:hAnsi="Times New Roman" w:cs="Times New Roman"/>
      <w:color w:val="0000FF"/>
      <w:sz w:val="24"/>
    </w:rPr>
  </w:style>
  <w:style w:type="character" w:customStyle="1" w:styleId="ListLabel30">
    <w:name w:val="ListLabel 30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1">
    <w:name w:val="ListLabel 31"/>
    <w:rsid w:val="00D3042C"/>
    <w:rPr>
      <w:color w:val="0000FF"/>
      <w:sz w:val="28"/>
      <w:szCs w:val="28"/>
    </w:rPr>
  </w:style>
  <w:style w:type="character" w:customStyle="1" w:styleId="ListLabel32">
    <w:name w:val="ListLabel 32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33">
    <w:name w:val="ListLabel 33"/>
    <w:rsid w:val="00D3042C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34">
    <w:name w:val="ListLabel 34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35">
    <w:name w:val="ListLabel 35"/>
    <w:rsid w:val="00D3042C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36">
    <w:name w:val="ListLabel 36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37">
    <w:name w:val="ListLabel 37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38">
    <w:name w:val="ListLabel 38"/>
    <w:rsid w:val="00D3042C"/>
    <w:rPr>
      <w:rFonts w:cs="Times New Roman"/>
      <w:sz w:val="28"/>
      <w:szCs w:val="28"/>
    </w:rPr>
  </w:style>
  <w:style w:type="character" w:customStyle="1" w:styleId="ListLabel39">
    <w:name w:val="ListLabel 39"/>
    <w:rsid w:val="00D3042C"/>
    <w:rPr>
      <w:rFonts w:ascii="Times New Roman" w:hAnsi="Times New Roman" w:cs="Times New Roman"/>
      <w:color w:val="0000FF"/>
      <w:sz w:val="24"/>
    </w:rPr>
  </w:style>
  <w:style w:type="character" w:customStyle="1" w:styleId="ListLabel40">
    <w:name w:val="ListLabel 40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1">
    <w:name w:val="ListLabel 41"/>
    <w:rsid w:val="00D3042C"/>
    <w:rPr>
      <w:color w:val="0000FF"/>
      <w:sz w:val="28"/>
      <w:szCs w:val="28"/>
    </w:rPr>
  </w:style>
  <w:style w:type="character" w:customStyle="1" w:styleId="ListLabel42">
    <w:name w:val="ListLabel 42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43">
    <w:name w:val="ListLabel 43"/>
    <w:rsid w:val="00D3042C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44">
    <w:name w:val="ListLabel 44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rsid w:val="00D3042C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46">
    <w:name w:val="ListLabel 46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47">
    <w:name w:val="ListLabel 47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48">
    <w:name w:val="ListLabel 48"/>
    <w:rsid w:val="00D3042C"/>
    <w:rPr>
      <w:rFonts w:cs="Times New Roman"/>
      <w:sz w:val="28"/>
      <w:szCs w:val="28"/>
    </w:rPr>
  </w:style>
  <w:style w:type="character" w:customStyle="1" w:styleId="ListLabel49">
    <w:name w:val="ListLabel 49"/>
    <w:rsid w:val="00D3042C"/>
    <w:rPr>
      <w:rFonts w:ascii="Times New Roman" w:hAnsi="Times New Roman" w:cs="Times New Roman"/>
      <w:color w:val="0000FF"/>
      <w:sz w:val="24"/>
    </w:rPr>
  </w:style>
  <w:style w:type="character" w:customStyle="1" w:styleId="ListLabel50">
    <w:name w:val="ListLabel 50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1">
    <w:name w:val="ListLabel 51"/>
    <w:rsid w:val="00D3042C"/>
    <w:rPr>
      <w:color w:val="0000FF"/>
      <w:sz w:val="28"/>
      <w:szCs w:val="28"/>
    </w:rPr>
  </w:style>
  <w:style w:type="character" w:customStyle="1" w:styleId="ListLabel52">
    <w:name w:val="ListLabel 52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53">
    <w:name w:val="ListLabel 53"/>
    <w:rsid w:val="00D3042C"/>
    <w:rPr>
      <w:rFonts w:ascii="Times New Roman" w:eastAsia="Times New Roman" w:hAnsi="Times New Roman" w:cs="Times New Roman"/>
      <w:sz w:val="28"/>
      <w:szCs w:val="28"/>
    </w:rPr>
  </w:style>
  <w:style w:type="character" w:customStyle="1" w:styleId="ListLabel54">
    <w:name w:val="ListLabel 54"/>
    <w:rsid w:val="00D3042C"/>
    <w:rPr>
      <w:rFonts w:ascii="Times New Roman" w:hAnsi="Times New Roman" w:cs="Times New Roman"/>
      <w:sz w:val="28"/>
      <w:szCs w:val="28"/>
    </w:rPr>
  </w:style>
  <w:style w:type="character" w:customStyle="1" w:styleId="ListLabel55">
    <w:name w:val="ListLabel 55"/>
    <w:rsid w:val="00D3042C"/>
    <w:rPr>
      <w:rFonts w:ascii="Times New Roman" w:hAnsi="Times New Roman" w:cs="Times New Roman"/>
      <w:color w:val="000000"/>
      <w:sz w:val="28"/>
      <w:szCs w:val="28"/>
    </w:rPr>
  </w:style>
  <w:style w:type="character" w:customStyle="1" w:styleId="ListLabel56">
    <w:name w:val="ListLabel 56"/>
    <w:rsid w:val="00D3042C"/>
    <w:rPr>
      <w:rFonts w:ascii="Times New Roman" w:hAnsi="Times New Roman" w:cs="Times New Roman"/>
      <w:color w:val="0000FF"/>
      <w:sz w:val="28"/>
      <w:szCs w:val="28"/>
    </w:rPr>
  </w:style>
  <w:style w:type="character" w:customStyle="1" w:styleId="ListLabel57">
    <w:name w:val="ListLabel 57"/>
    <w:rsid w:val="00D3042C"/>
    <w:rPr>
      <w:rFonts w:ascii="Times New Roman" w:hAnsi="Times New Roman" w:cs="Times New Roman"/>
      <w:sz w:val="28"/>
      <w:szCs w:val="28"/>
    </w:rPr>
  </w:style>
  <w:style w:type="character" w:styleId="a6">
    <w:name w:val="Strong"/>
    <w:basedOn w:val="11"/>
    <w:qFormat/>
    <w:rsid w:val="00D3042C"/>
    <w:rPr>
      <w:b/>
      <w:bCs/>
    </w:rPr>
  </w:style>
  <w:style w:type="character" w:styleId="a7">
    <w:name w:val="FollowedHyperlink"/>
    <w:rsid w:val="00D3042C"/>
    <w:rPr>
      <w:color w:val="800000"/>
      <w:u w:val="single"/>
    </w:rPr>
  </w:style>
  <w:style w:type="paragraph" w:customStyle="1" w:styleId="13">
    <w:name w:val="Заголовок1"/>
    <w:basedOn w:val="a"/>
    <w:next w:val="a8"/>
    <w:rsid w:val="00D3042C"/>
    <w:pPr>
      <w:keepNext/>
      <w:spacing w:before="240" w:after="120"/>
    </w:pPr>
    <w:rPr>
      <w:rFonts w:ascii="Liberation Sans" w:hAnsi="Liberation Sans" w:cs="Liberation Sans"/>
      <w:sz w:val="28"/>
    </w:rPr>
  </w:style>
  <w:style w:type="paragraph" w:styleId="a8">
    <w:name w:val="Body Text"/>
    <w:basedOn w:val="a"/>
    <w:rsid w:val="00D3042C"/>
    <w:pPr>
      <w:spacing w:after="140" w:line="276" w:lineRule="auto"/>
    </w:pPr>
  </w:style>
  <w:style w:type="paragraph" w:styleId="a9">
    <w:name w:val="List"/>
    <w:basedOn w:val="a8"/>
    <w:rsid w:val="00D3042C"/>
  </w:style>
  <w:style w:type="paragraph" w:styleId="aa">
    <w:name w:val="caption"/>
    <w:basedOn w:val="a"/>
    <w:qFormat/>
    <w:rsid w:val="00D3042C"/>
    <w:pPr>
      <w:suppressLineNumbers/>
      <w:spacing w:before="120" w:after="120"/>
    </w:pPr>
    <w:rPr>
      <w:rFonts w:cs="Arial"/>
      <w:i/>
      <w:iCs/>
    </w:rPr>
  </w:style>
  <w:style w:type="paragraph" w:customStyle="1" w:styleId="5">
    <w:name w:val="Указатель5"/>
    <w:basedOn w:val="a"/>
    <w:rsid w:val="00D3042C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rsid w:val="00D3042C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rsid w:val="00D3042C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rsid w:val="00D3042C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rsid w:val="00D3042C"/>
    <w:pPr>
      <w:suppressLineNumbers/>
    </w:pPr>
    <w:rPr>
      <w:rFonts w:cs="Arial"/>
    </w:rPr>
  </w:style>
  <w:style w:type="paragraph" w:customStyle="1" w:styleId="14">
    <w:name w:val="Название объекта1"/>
    <w:basedOn w:val="a"/>
    <w:rsid w:val="00D3042C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rsid w:val="00D3042C"/>
    <w:pPr>
      <w:suppressLineNumbers/>
    </w:pPr>
    <w:rPr>
      <w:rFonts w:cs="Arial"/>
    </w:rPr>
  </w:style>
  <w:style w:type="paragraph" w:customStyle="1" w:styleId="15">
    <w:name w:val="Название объекта1"/>
    <w:basedOn w:val="a"/>
    <w:rsid w:val="00D3042C"/>
    <w:pPr>
      <w:spacing w:before="120" w:after="120"/>
    </w:pPr>
    <w:rPr>
      <w:i/>
    </w:rPr>
  </w:style>
  <w:style w:type="paragraph" w:customStyle="1" w:styleId="16">
    <w:name w:val="Указатель1"/>
    <w:basedOn w:val="a"/>
    <w:rsid w:val="00D3042C"/>
  </w:style>
  <w:style w:type="paragraph" w:customStyle="1" w:styleId="ConsPlusNormal">
    <w:name w:val="ConsPlusNormal"/>
    <w:rsid w:val="00D3042C"/>
    <w:pPr>
      <w:suppressAutoHyphens/>
    </w:pPr>
    <w:rPr>
      <w:rFonts w:ascii="Arial" w:eastAsia="Courier New" w:hAnsi="Arial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Nonformat">
    <w:name w:val="ConsPlusNonformat"/>
    <w:rsid w:val="00D3042C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Title">
    <w:name w:val="ConsPlusTitle"/>
    <w:rsid w:val="00D3042C"/>
    <w:pPr>
      <w:suppressAutoHyphens/>
    </w:pPr>
    <w:rPr>
      <w:rFonts w:ascii="Arial" w:eastAsia="Courier New" w:hAnsi="Arial" w:cs="Liberation Serif"/>
      <w:b/>
      <w:color w:val="000000"/>
      <w:kern w:val="2"/>
      <w:sz w:val="16"/>
      <w:szCs w:val="24"/>
      <w:lang w:eastAsia="zh-CN" w:bidi="hi-IN"/>
    </w:rPr>
  </w:style>
  <w:style w:type="paragraph" w:customStyle="1" w:styleId="ConsPlusCell">
    <w:name w:val="ConsPlusCell"/>
    <w:rsid w:val="00D3042C"/>
    <w:pPr>
      <w:suppressAutoHyphens/>
    </w:pPr>
    <w:rPr>
      <w:rFonts w:ascii="Courier New" w:eastAsia="Courier New" w:hAnsi="Courier New" w:cs="Liberation Serif"/>
      <w:color w:val="000000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rsid w:val="00D3042C"/>
    <w:pPr>
      <w:suppressAutoHyphens/>
    </w:pPr>
    <w:rPr>
      <w:rFonts w:ascii="Courier New" w:eastAsia="Courier New" w:hAnsi="Courier New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TitlePage">
    <w:name w:val="ConsPlusTitlePage"/>
    <w:rsid w:val="00D3042C"/>
    <w:pPr>
      <w:suppressAutoHyphens/>
    </w:pPr>
    <w:rPr>
      <w:rFonts w:ascii="Tahoma" w:eastAsia="Courier New" w:hAnsi="Tahoma" w:cs="Liberation Serif"/>
      <w:color w:val="000000"/>
      <w:kern w:val="2"/>
      <w:sz w:val="16"/>
      <w:szCs w:val="24"/>
      <w:lang w:eastAsia="zh-CN" w:bidi="hi-IN"/>
    </w:rPr>
  </w:style>
  <w:style w:type="paragraph" w:customStyle="1" w:styleId="ConsPlusJurTerm">
    <w:name w:val="ConsPlusJurTerm"/>
    <w:rsid w:val="00D3042C"/>
    <w:pPr>
      <w:suppressAutoHyphens/>
    </w:pPr>
    <w:rPr>
      <w:rFonts w:ascii="Tahoma" w:eastAsia="Courier New" w:hAnsi="Tahoma" w:cs="Liberation Serif"/>
      <w:color w:val="000000"/>
      <w:kern w:val="2"/>
      <w:sz w:val="26"/>
      <w:szCs w:val="24"/>
      <w:lang w:eastAsia="zh-CN" w:bidi="hi-IN"/>
    </w:rPr>
  </w:style>
  <w:style w:type="paragraph" w:customStyle="1" w:styleId="ConsPlusTextList">
    <w:name w:val="ConsPlusTextList"/>
    <w:rsid w:val="00D3042C"/>
    <w:pPr>
      <w:suppressAutoHyphens/>
    </w:pPr>
    <w:rPr>
      <w:rFonts w:ascii="Arial" w:eastAsia="Courier New" w:hAnsi="Arial" w:cs="Liberation Serif"/>
      <w:color w:val="000000"/>
      <w:kern w:val="2"/>
      <w:sz w:val="24"/>
      <w:szCs w:val="24"/>
      <w:lang w:eastAsia="zh-CN" w:bidi="hi-IN"/>
    </w:rPr>
  </w:style>
  <w:style w:type="paragraph" w:customStyle="1" w:styleId="ab">
    <w:name w:val="Содержимое таблицы"/>
    <w:basedOn w:val="a"/>
    <w:rsid w:val="00D3042C"/>
    <w:pPr>
      <w:suppressLineNumbers/>
    </w:pPr>
  </w:style>
  <w:style w:type="paragraph" w:customStyle="1" w:styleId="ac">
    <w:name w:val="Заголовок таблицы"/>
    <w:basedOn w:val="ab"/>
    <w:rsid w:val="00D3042C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D3042C"/>
    <w:pPr>
      <w:ind w:left="720"/>
    </w:pPr>
  </w:style>
  <w:style w:type="paragraph" w:styleId="ad">
    <w:name w:val="header"/>
    <w:basedOn w:val="a"/>
    <w:rsid w:val="00D3042C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D3042C"/>
    <w:pPr>
      <w:tabs>
        <w:tab w:val="center" w:pos="4677"/>
        <w:tab w:val="right" w:pos="9355"/>
      </w:tabs>
    </w:pPr>
  </w:style>
  <w:style w:type="paragraph" w:customStyle="1" w:styleId="18">
    <w:name w:val="Обычный (веб)1"/>
    <w:basedOn w:val="a"/>
    <w:rsid w:val="00D3042C"/>
    <w:pPr>
      <w:spacing w:before="30" w:after="30"/>
    </w:pPr>
    <w:rPr>
      <w:rFonts w:ascii="Arial" w:hAnsi="Arial" w:cs="Arial"/>
      <w:color w:val="332E2D"/>
      <w:spacing w:val="2"/>
    </w:rPr>
  </w:style>
  <w:style w:type="paragraph" w:styleId="af">
    <w:name w:val="Balloon Text"/>
    <w:basedOn w:val="a"/>
    <w:link w:val="af0"/>
    <w:uiPriority w:val="99"/>
    <w:semiHidden/>
    <w:unhideWhenUsed/>
    <w:rsid w:val="00D866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866D5"/>
    <w:rPr>
      <w:rFonts w:ascii="Tahoma" w:eastAsia="Arial" w:hAnsi="Tahoma" w:cs="Tahoma"/>
      <w:color w:val="000000"/>
      <w:kern w:val="2"/>
      <w:sz w:val="16"/>
      <w:szCs w:val="16"/>
      <w:lang w:eastAsia="zh-CN" w:bidi="ru-RU"/>
    </w:rPr>
  </w:style>
  <w:style w:type="character" w:styleId="af1">
    <w:name w:val="Placeholder Text"/>
    <w:basedOn w:val="a0"/>
    <w:uiPriority w:val="99"/>
    <w:semiHidden/>
    <w:rsid w:val="00D36F8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D44591A8A46128EE74C3BD5A0AC352676FB42E1BBB247E4FB5915FC9C31142A36B6447E0AA7AB3ABC43EC30F87D10B3F00903E1E3EE8A4D0D62382C38J6N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9C7095-BB20-4D84-9CDA-D90D6D1F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38</Pages>
  <Words>9245</Words>
  <Characters>52701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vt:lpstr>
    </vt:vector>
  </TitlesOfParts>
  <Company>Krokoz™</Company>
  <LinksUpToDate>false</LinksUpToDate>
  <CharactersWithSpaces>61823</CharactersWithSpaces>
  <SharedDoc>false</SharedDoc>
  <HLinks>
    <vt:vector size="90" baseType="variant">
      <vt:variant>
        <vt:i4>6684725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Par176</vt:lpwstr>
      </vt:variant>
      <vt:variant>
        <vt:i4>6488112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Par123</vt:lpwstr>
      </vt:variant>
      <vt:variant>
        <vt:i4>6553651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6422579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Par112</vt:lpwstr>
      </vt:variant>
      <vt:variant>
        <vt:i4>5505026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5701634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Par69</vt:lpwstr>
      </vt:variant>
      <vt:variant>
        <vt:i4>5701634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Par67</vt:lpwstr>
      </vt:variant>
      <vt:variant>
        <vt:i4>6619194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Par286</vt:lpwstr>
      </vt:variant>
      <vt:variant>
        <vt:i4>5505026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Par53</vt:lpwstr>
      </vt:variant>
      <vt:variant>
        <vt:i4>5570562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Par47</vt:lpwstr>
      </vt:variant>
      <vt:variant>
        <vt:i4>2359351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consultantplus://offline/ref=BD44591A8A46128EE74C3BD5A0AC352676FB42E1BBB247E4FB5915FC9C31142A36B6447E0AA7AB3ABC43EC30F87D10B3F00903E1E3EE8A4D0D62382C38J6N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Par49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Кировской области от 17.12.2012 N 186/788(ред. от 11.04.2019)"Об утверждении государственной программы Кировской области "Энергоэффективность и развитие энергетики" на 2013 - 2021 годы"</dc:title>
  <dc:creator>n315vag</dc:creator>
  <cp:lastModifiedBy>slobodina_ai</cp:lastModifiedBy>
  <cp:revision>15</cp:revision>
  <cp:lastPrinted>2020-01-27T08:27:00Z</cp:lastPrinted>
  <dcterms:created xsi:type="dcterms:W3CDTF">2020-01-22T09:08:00Z</dcterms:created>
  <dcterms:modified xsi:type="dcterms:W3CDTF">2020-01-29T08:28:00Z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4018.00.62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